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thai_redcross_lab_errors</w:t>
      </w:r>
    </w:p>
    <w:p>
      <w:r>
        <w:t xml:space="preserve"> </w:t>
      </w:r>
    </w:p>
    <w:p>
      <w:pPr>
        <w:pStyle w:val="Heading2"/>
      </w:pPr>
      <w:r>
        <w:t>Title</w:t>
      </w:r>
    </w:p>
    <w:p>
      <w:r>
        <w:t>Retrospective descriptive and six-sigma analysis of laboratory errors across the total testing process in a Thai Red Cross general hospital, 2021–2023</w:t>
      </w:r>
    </w:p>
    <w:p>
      <w:r>
        <w:t xml:space="preserve"> </w:t>
      </w:r>
    </w:p>
    <w:p>
      <w:pPr>
        <w:pStyle w:val="Heading2"/>
      </w:pPr>
      <w:r>
        <w:t>Short Hypothesis</w:t>
      </w:r>
    </w:p>
    <w:p>
      <w:r>
        <w:t>Implementing a unified defect codebook, capture–recapture underreporting adjustment, and phase-targeted corrective actions will reduce analyte-level defects per million opportunities (DPMO) by at least 50% for the top three error types within 12 months after intervention.</w:t>
      </w:r>
    </w:p>
    <w:p>
      <w:r>
        <w:t xml:space="preserve"> </w:t>
      </w:r>
    </w:p>
    <w:p>
      <w:pPr>
        <w:pStyle w:val="Heading2"/>
      </w:pPr>
      <w:r>
        <w:t>Related Work</w:t>
      </w:r>
    </w:p>
    <w:p>
      <w:r>
        <w:t>Existing studies on laboratory errors typically use descriptive classification across pre-analytical, analytical, and post-analytical phases and often report error counts, proportions, and turnaround-time (TAT) breaches. Six-sigma metrics and DPMO conversions have been applied to prioritize analytes, but prior work shows wide variation in denominator definitions (per order, per specimen), inconsistent counting of co-occurring defects, and limited handling of under-reporting. Capture–recapture methods have been used in healthcare safety to estimate missed events, but many prior analyses rely on two-source models without testing independence or linkage error. Low-volume analytes are commonly excluded or reported with unstable sigma estimates; some prior work uses simple pooling but lacks hierarchical or Bayesian shrinkage to quantify uncertainty. Free-text root-cause analyses often lack validated NLP for local languages. Overall, limitations include inconsistent definitions, under-reporting bias, unstable metrics for rare events, and weak reproducibility/documentation.</w:t>
      </w:r>
    </w:p>
    <w:p>
      <w:r>
        <w:t xml:space="preserve"> </w:t>
      </w:r>
    </w:p>
    <w:p>
      <w:pPr>
        <w:pStyle w:val="Heading2"/>
      </w:pPr>
      <w:r>
        <w:t>Abstract</w:t>
      </w:r>
    </w:p>
    <w:p>
      <w:r>
        <w:t>Analytical and total-testing-process errors threaten laboratory quality but are inconsistently measured and incompletely reported. We propose a retrospective descriptive study of laboratory error records from 2021–2023 at a Thai Red Cross general hospital that standardizes defect definitions, counts defects per analyte-ordered, adjusts for under-reporting using capture–recapture, and quantifies performance with DPMO and six-sigma metrics. The approach includes a blinded severity adjudication, hierarchical selection of total allowable error (TEa), Bayesian shrinkage for low-count analytes, and time-series control charts (p-charts, EWMA/CUSUM) with interrupted time series for intervention evaluation. Main contributions are: (1) a reproducible codebook for defect/opportunity counting across phases, (2) adjusted analyte-level sigma estimates with uncertainty for rare events, and (3) an evaluation framework that compares raw and adjusted metrics and measures intervention impact. Expected outcomes are reliable, comparable error rates per analyte, defensible prioritization of corrective actions, and measurable quality improvement targets for reducing preventable laboratory errors.</w:t>
      </w:r>
    </w:p>
    <w:p>
      <w:r>
        <w:t xml:space="preserve"> </w:t>
      </w:r>
    </w:p>
    <w:p>
      <w:pPr>
        <w:pStyle w:val="Heading2"/>
      </w:pPr>
      <w:r>
        <w:t>Methodology</w:t>
      </w:r>
    </w:p>
    <w:p>
      <w:r>
        <w:t>1) Data acquisition: extract 2021–2023 error logs, LIS orders/results, specimen IDs, timestamps (collection/receipt/result/report), QC logs, instrument maintenance and reagent-lot records, and free-text notes. 2) Codebook: create a single defect/opportunity codebook that defines phases (pre/analytical/analytical/post), defect subtypes, counting rules (one opportunity = one analyte-ordered; multiple independent defects on same order counted separately for DPMO but flagged one primary defect for clinical-event summaries). 3) Mapping and cleaning: map local test codes to canonical codes (LOINC when available), deduplicate using deterministic keys (specimenID+analyte+time window) and probabilistic matching for edge cases, and flag critical missing fields (&gt;30% missing marks exclusion from primary analysis). 4) Under-reporting adjustment: implement capture–recapture using at least two independent sources (voluntary reports and automated LIS/instrument flags) and a targeted audit sample (≈10% shifts) as a third source when possible; fit three-source log-linear models with interactions and report sensitivity ranges. 5) Severity adjudication: produce blinded case packets for two independent reviewers plus tie-breaker; compute Cohen’s kappa on a stratified sample (n≈80) and retrain if kappa &lt;0.6. 6) Sigma and TEa: choose TEa hierarchically (local regulatory → biological variation → CLSI), compute DPMO per analyte, convert to z and report sigma both with and without classical +1.5 shift; for low counts apply hierarchical Bayesian (Beta-Binomial or equivalent) shrinkage to produce posterior DPMO distributions. 7) Time-series and control charts: generate p-charts (monthly), EWMA/CUSUM for early shifts, and ITS segmented regression for intervention effects with autocorrelation correction (ARIMA/GLS). 8) NLP root-cause: manually code ~10% of narratives to build taxonomy, fine-tune ThaiBERT or similar, target precision/recall ≥0.80, keep human-in-loop review. 9) Reproducibility &amp; governance: containerize analysis (Docker), version scripts, log mapping provenance, enforce encryption and RBAC, and obtain IRB/data-use approvals before linking outcomes.</w:t>
      </w:r>
    </w:p>
    <w:p>
      <w:r>
        <w:t xml:space="preserve"> </w:t>
      </w:r>
    </w:p>
    <w:p>
      <w:pPr>
        <w:pStyle w:val="Heading2"/>
      </w:pPr>
      <w:r>
        <w:t>Experiments</w:t>
      </w:r>
    </w:p>
    <w:p>
      <w:r>
        <w:t>Datasets: (A) primary: all error logs 2021–2023 with linked LIS order data and specimen metadata; (B) QC/instrument logs and reagent-lot change records; (C) audit sample from 10% of shifts (stratified across day/night/weekend); (D) manually annotated 10% of free-text narratives for NLP training. Baselines: raw reported DPMO and unadjusted sigma (per-analyte, per-phase) using existing logs without capture–recapture or Bayesian shrinkage. Metrics: DPMO (defects per million opportunities), sigma (z and z+1.5), 95% CI/credible intervals for DPMO, Cohen’s kappa for adjudication, precision/recall/F1 for NLP, TAT breach rate (%), and ITS effect estimates (level and slope changes). Experimental setup: 1) Compute raw per-analyte DPMO and sigma. 2) Apply capture–recapture three-source log-linear models to produce adjusted DPMO ranges; compare adjusted vs raw (ablation 1). 3) For low-count analytes, apply hierarchical Bayesian Beta-Binomial shrinkage and compare posterior median/CI to raw estimates (ablation 2). 4) Perform control-chart analyses (p-chart monthly, EWMA/CUSUM weekly) for each analyte; flag shifts. 5) Implement an intervention bundle for top three prioritized defects and evaluate via ITS (pre-intervention 12 months, post-intervention 12 months); report level change, slope change, and p-values with autocorrelation correction. 6) NLP ablation: evaluate root-cause extraction performance with and without rule-based augmentation. 7) Subgroup analyses: specimen source strata and instrument-level correlations using QC log alignment windows (±72 hours) to test lead/lag relationships. Required sample rules: exclude analyte-phase strata with &lt;30 defects from primary sigma reporting; report Bayesian results instead. Reproducibility: provide Docker image, R/Python scripts, and versioned mapping tables.</w:t>
      </w:r>
    </w:p>
    <w:p>
      <w:r>
        <w:t xml:space="preserve"> </w:t>
      </w:r>
    </w:p>
    <w:p>
      <w:pPr>
        <w:pStyle w:val="Heading2"/>
      </w:pPr>
      <w:r>
        <w:t>Risk Factors And Limitations</w:t>
      </w:r>
    </w:p>
    <w:p>
      <w:r>
        <w:t>1) Under-reporting not fully correctable: capture–recapture relies on independent sources and accurate linkage; violations lead to biased adjustments. 2) Linkage errors: false matches or missed matches in deterministic/probabilistic linkage can distort capture–recapture and event counts. 3) Low counts: rare-event analytes yield wide posterior intervals and unstable sigma conversions making actionable decisions difficult. 4) Missing data: fields with intermittent or systematic missingness may bias phase attribution; &gt;30% threshold is arbitrary and may exclude informative records. 5) NLP limits: Thai free-text models may underperform on local shorthand or noisy notes, reducing root-cause extraction quality. 6) Temporal alignment: correlating QC/instrument events with errors requires selecting lead/lag windows; wrong windows can miss associations. 7) External validity: findings from a single hospital may not generalize to other hospitals or national systems. 8) Resource constraints: manual annotation, adjudication, and mapping reviews require personnel time; delays may affect timelines. 9) Ethical/legal constraints: IRB or data-sharing restrictions could limit outcome linkage or external data backups. 10) Statistical assumptions: log-linear capture–recapture and ITS models assume closed populations and stable reporting processes; violations compromise inference.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