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anion_gap_lactate_predictor</w:t>
      </w:r>
    </w:p>
    <w:p>
      <w:r>
        <w:t xml:space="preserve"> </w:t>
      </w:r>
    </w:p>
    <w:p>
      <w:pPr>
        <w:pStyle w:val="Heading2"/>
      </w:pPr>
      <w:r>
        <w:t>Title</w:t>
      </w:r>
    </w:p>
    <w:p>
      <w:r>
        <w:t>Albumin-corrected anion gap predicts elevated serum lactate in emergency department sepsis without shock: a retrospective ROC and multivariable analysis</w:t>
      </w:r>
    </w:p>
    <w:p>
      <w:r>
        <w:t xml:space="preserve"> </w:t>
      </w:r>
    </w:p>
    <w:p>
      <w:pPr>
        <w:pStyle w:val="Heading2"/>
      </w:pPr>
      <w:r>
        <w:t>Short Hypothesis</w:t>
      </w:r>
    </w:p>
    <w:p>
      <w:r>
        <w:t>Higher albumin-corrected anion gap (AGc) measured at ED presentation is independently associated with increased odds of serum lactate &gt;2.0 mmol/L in adults with sepsis who are not in shock.</w:t>
      </w:r>
    </w:p>
    <w:p>
      <w:r>
        <w:t xml:space="preserve"> </w:t>
      </w:r>
    </w:p>
    <w:p>
      <w:pPr>
        <w:pStyle w:val="Heading2"/>
      </w:pPr>
      <w:r>
        <w:t>Related Work</w:t>
      </w:r>
    </w:p>
    <w:p>
      <w:r>
        <w:t>Prior studies tested uncorrected anion gap (AG) as a marker for high lactate but show inconsistent performance. Some retrospective reports suggest an AG threshold (for example &gt;18 mmol/L) may identify very high lactate (&gt;4 mmol/L), but sensitivity and specificity were limited. Existing work is limited by heterogeneous cohorts including patients with shock, lack of albumin correction, small sample sizes, absence of methods to adjust for clinician-driven testing (selection bias), limited handling of missing albumin, sparse lab harmonization across platforms, and little or no incorporation of assay imprecision into inference. External validation and prespecified cutpoint rules are also uncommon. These gaps leave uncertain whether AG (especially albumin-corrected AG) can reliably discriminate modest lactate elevations (e.g., &gt;2 mmol/L) in non-shock sepsis in routine ED practice.</w:t>
      </w:r>
    </w:p>
    <w:p>
      <w:r>
        <w:t xml:space="preserve"> </w:t>
      </w:r>
    </w:p>
    <w:p>
      <w:pPr>
        <w:pStyle w:val="Heading2"/>
      </w:pPr>
      <w:r>
        <w:t>Abstract</w:t>
      </w:r>
    </w:p>
    <w:p>
      <w:r>
        <w:t>We evaluate whether albumin-corrected anion gap (AGc) measured at emergency department presentation predicts elevated serum lactate in adults with sepsis who are not in shock. Using a retrospective ED cohort, we will compute AGc as AG + 2.5 × (4.0 − albumin g/dL) and model AGc continuously with restricted cubic splines. Primary outcome is lactate &gt;2.0 mmol/L on the first paired sample; lactate &gt;4.0 mmol/L is a secondary outcome. We will adjust for pre-exposure confounders, account for clinician-driven lactate testing with stabilized inverse-probability weights, and impute missing albumin with multiple imputation (m=20). Performance will be assessed by ROC AUC with DeLong confidence intervals, bootstrap optimism correction, bootstrapped cutpoints, and decision-curve analysis. We will propagate laboratory assay imprecision via Monte Carlo perturbation and report platform-calibrated results. Expected outcome: quantify the independent association and discrimination of AGc for elevated lactate, provide prespecified cutoffs with performance characteristics, and determine whether AGc offers clinically useful discrimination in non-shock ED sepsis.</w:t>
      </w:r>
    </w:p>
    <w:p>
      <w:r>
        <w:t xml:space="preserve"> </w:t>
      </w:r>
    </w:p>
    <w:p>
      <w:pPr>
        <w:pStyle w:val="Heading2"/>
      </w:pPr>
      <w:r>
        <w:t>Methodology</w:t>
      </w:r>
    </w:p>
    <w:p>
      <w:r>
        <w:t>1) Cohort and outcome: Identify adult ED encounters meeting Sepsis-3 suspected infection (antibiotics + culture within 24 hours) plus acute SOFA rise ≥2. Exclude encounters with septic shock at presentation defined by vasopressor start time ≤ time of paired labs with documented MAP requirement ≥65 mmHg. Paired lab rule: prefer same-draw AG and lactate; accept up to 30 minutes, allow up to 60 minutes with flagging; record arterial versus venous source.</w:t>
        <w:br/>
        <w:br/>
        <w:t>2) Exposure: Compute AG as Na - (Cl + HCO3) (and also compute AG with K as sensitivity). Compute AGc = AG + 2.5 × (4.0 − albumin [g/dL]) using albumin in g/dL. Store both AG and AGc.</w:t>
        <w:br/>
        <w:br/>
        <w:t>3) Missing data: Use multiple imputation by chained equations (MICE) with m = 20 imputations. Include predictors: age, sex, creatinine, BUN, bilirubin, total protein, vitals, SOFA components, AG, lactate, infection markers, time to lab. Report fraction missing and compare imputed vs observed albumin distributions.</w:t>
        <w:br/>
        <w:br/>
        <w:t>4) Selection bias: Model probability of having lactate ordered using pre-lab triage variables: age, sex, Charlson comorbidity index, CKD, cirrhosis, triage vitals (HR, BP, RR, SpO2, temp), triage acuity, arrival mode, antibiotics/culture ordered prior to labs, ED location, and time of day. Use stabilized inverse-probability weights (IPW), truncate at 99th percentile and cap extreme weights at 10; inspect mean stabilized weight ≈1 and overlap plots.</w:t>
        <w:br/>
        <w:br/>
        <w:t>5) Regression and nonlinearity: Fit logistic regression for outcome lactate &gt;2.0 mmol/L with AGc modeled using restricted cubic splines (explain: splines let the relationship bend smoothly). Adjust for pre-exposure confounders per DAG: age, CKD/cirrhosis, diabetes, suspected infection source, triage vitals, time from arrival to labs. Do not adjust for bicarbonate or pH in primary causal model because they are mediators.</w:t>
        <w:br/>
        <w:br/>
        <w:t>6) Collinearity and model complexity: Require variance inflation factor (VIF) &lt;5 for retained covariates. Enforce events-per-variable (EPV) ≥10 minimum, target EPV ≥15. If EPV insufficient, use penalized regression (e.g., ridge) or drop nonessential covariates per prespecified hierarchy.</w:t>
        <w:br/>
        <w:br/>
        <w:t>7) Lab harmonization and analytic uncertainty: Record analyzer platform, apply Deming regression for cross-platform calibration if needed. Propagate assay imprecision using Monte Carlo perturbation with local CVs (e.g., lactate CV ≈3%, albumin CV 2–5%) for 10,000 iterations and recompute AGc and performance metrics.</w:t>
        <w:br/>
        <w:br/>
        <w:t>8) Performance and cutpoints: Primary discrimination metric: ROC AUC (DeLong CI). Use bootstrap (5,000 resamples) for optimism correction and cutpoint CIs. Report Youden cutoff and two prespecified clinical cutoffs: sensitivity-optimized for ruling out lactate &gt;4.0 mmol/L (target sens ≥95) and specificity-optimized for rule-in (target spec ≥90). Present sensitivity, specificity, PPV/NPV at chosen prevalences, likelihood ratios, NRI/IDI, calibration slope/intercept, and decision-curve net benefit.</w:t>
        <w:br/>
        <w:br/>
        <w:t>9) Sensitivity analyses: uncorrected AG, AG with K, complete-case vs imputed albumin, exclude patients receiving vasopressors within 6 hours post-index labs, mixed-effects models including repeat encounters with patient random intercepts, and subgroup analyses by CKD and hypoalbuminemia.</w:t>
        <w:br/>
        <w:br/>
        <w:t>10) Validation: Internal bootstrap optimism correction and plan external validation on an independent ED cohort with prespecified event targets. Pre-register SAP and share analysis code.</w:t>
      </w:r>
    </w:p>
    <w:p>
      <w:r>
        <w:t xml:space="preserve"> </w:t>
      </w:r>
    </w:p>
    <w:p>
      <w:pPr>
        <w:pStyle w:val="Heading2"/>
      </w:pPr>
      <w:r>
        <w:t>Experiments</w:t>
      </w:r>
    </w:p>
    <w:p>
      <w:r>
        <w:t>Dataset: Single-center retrospective ED EHR extract of adult (≥18) sepsis encounters with ABX + culture within 24h and paired AG and lactate within 60 minutes. Expected target: total N ≥1000 with ≥200 events of lactate &gt;2.0 mmol/L for primary analysis. Secondary target: ≥100 events of lactate &gt;4.0 mmol/L.</w:t>
        <w:br/>
        <w:br/>
        <w:t>Baselines: 1) clinical-only baseline model (age, CKD, diabetes, triage vitals, infection source, time-to-lab); 2) baseline + uncorrected AG; 3) baseline + AGc (primary); 4) baseline + AG with K. Also compare to clinician rule (no AG).</w:t>
        <w:br/>
        <w:br/>
        <w:t>Evaluation metrics: AUC with DeLong 95% CI, sensitivity, specificity, PPV/NPV at predefined prevalences (e.g., 10%, 20%, 40%), positive/negative likelihood ratios, calibration slope/intercept, Brier score, NRI and IDI for added value, decision-curve net benefit, and E-values for unmeasured confounding.</w:t>
        <w:br/>
        <w:br/>
        <w:t>Statistical procedures: Use stabilized IPW for missing-lactate selection, MICE m=20 for albumin, logistic regression with AGc as restricted cubic splines, VIF threshold &lt;5, EPV ≥10–15 enforced. Use 5,000 bootstrap resamples for optimism correction and cutpoint CIs. Monte Carlo perturbation (10,000 iterations) for lab CV uncertainty. Use DeLong test for AUC comparisons.</w:t>
        <w:br/>
        <w:br/>
        <w:t>Ablation studies: (A) AGc versus uncorrected AG versus AG with K; (B) IPW-weighted vs unweighted analyses to assess selection bias impact; (C) imputed (MICE) vs complete-case albumin handling; (D) with and without platform calibration; (E) excluding encounters with vasopressors within 6 hours. Secondary outcome experiments: repeat all analyses for lactate &gt;4.0 mmol/L.</w:t>
        <w:br/>
        <w:br/>
        <w:t>Significance and reporting: Two-sided alpha = 0.05. Report bootstrap 95% CIs for key metrics. Prespecify primary model (AGc → lactate &gt;2.0 mmol/L) and primary metric (AUC) to control multiplicity.</w:t>
      </w:r>
    </w:p>
    <w:p>
      <w:r>
        <w:t xml:space="preserve"> </w:t>
      </w:r>
    </w:p>
    <w:p>
      <w:pPr>
        <w:pStyle w:val="Heading2"/>
      </w:pPr>
      <w:r>
        <w:t>Risk Factors And Limitations</w:t>
      </w:r>
    </w:p>
    <w:p>
      <w:r>
        <w:t>1) Selection bias: clinician-driven lactate ordering may leave nonrandom missing outcomes; IPW may not fully correct if important predictors are unmeasured. 2) Missing albumin: if albumin is missing &gt;40% results for AGc may be unstable and biased. 3) Residual confounding: unmeasured physiological or medication factors (e.g., recent metformin, toxins) can bias associations; E-values quantify but do not remove this risk. 4) Measurement error: lab assay imprecision and pre-analytic handling can alter AG and lactate; Monte Carlo accounts for this but large errors reduce signal. 5) Small event counts: insufficient events (EPV &lt;10) will limit multivariable adjustment and require penalization or simpler models. 6) Platform heterogeneity: differences across analyzers may cause systematic bias; calibration may not fully harmonize all sites. 7) Generalizability: single-center retrospective findings may not transport to other EDs with different populations or lab practices. 8) Causal inference limits: observational design prevents definitive causal claims; mediation and collider bias risks exist if covariate timing is mis-specified. 9) Clinical risk tolerance: chosen cutpoints may still miss some elevated lactates; rule-out thresholds must accept a non-zero false negative risk which may be unacceptable in some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