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triherbal_thromboinflammation_dm</w:t>
      </w:r>
    </w:p>
    <w:p>
      <w:r>
        <w:t xml:space="preserve"> </w:t>
      </w:r>
    </w:p>
    <w:p>
      <w:pPr>
        <w:pStyle w:val="Heading2"/>
      </w:pPr>
      <w:r>
        <w:t>Title</w:t>
      </w:r>
    </w:p>
    <w:p>
      <w:r>
        <w:t>Evaluation of anti-thromboinflammatory effects of a 1:1:1 aqueous extract of Moringa oleifera, Ocimum gratissimum, and Vernonia amygdalina in a rat model of type 2 diabetes</w:t>
      </w:r>
    </w:p>
    <w:p>
      <w:r>
        <w:t xml:space="preserve"> </w:t>
      </w:r>
    </w:p>
    <w:p>
      <w:pPr>
        <w:pStyle w:val="Heading2"/>
      </w:pPr>
      <w:r>
        <w:t>Short Hypothesis</w:t>
      </w:r>
    </w:p>
    <w:p>
      <w:r>
        <w:t>Oral administration of a 1:1:1 aqueous triherbal extract at 150 mg/kg daily for 28 days reduces platelet activation, measured as percent P-selectin–positive platelets, relative to diabetic vehicle-treated rats.</w:t>
      </w:r>
    </w:p>
    <w:p>
      <w:r>
        <w:t xml:space="preserve"> </w:t>
      </w:r>
    </w:p>
    <w:p>
      <w:pPr>
        <w:pStyle w:val="Heading2"/>
      </w:pPr>
      <w:r>
        <w:t>Related Work</w:t>
      </w:r>
    </w:p>
    <w:p>
      <w:r>
        <w:t>Previous preclinical studies report that Moringa, Ocimum and Vernonia extracts can reduce hyperglycemia, inflammation, and some thromboinflammatory markers in rodents. Existing approaches vary widely in diabetes induction (single high-dose STZ, multiple low-dose STZ, or diet models), dosing regimens, extract preparation, and endpoints. Limitations in prior work include inconsistent phytochemical standardization across batches, sparse or absent PK data, small sample sizes without sex balance, reliance on single biomarkers (e.g., glucose or cytokines) rather than cellular platelet activation or functional thrombosis assays, and limited acute-to-subacute toxicity characterization. These gaps reduce reproducibility and translational confidence and leave unresolved whether blended extracts act additively, synergistically, or redundantly versus individual herb effects.</w:t>
      </w:r>
    </w:p>
    <w:p>
      <w:r>
        <w:t xml:space="preserve"> </w:t>
      </w:r>
    </w:p>
    <w:p>
      <w:pPr>
        <w:pStyle w:val="Heading2"/>
      </w:pPr>
      <w:r>
        <w:t>Abstract</w:t>
      </w:r>
    </w:p>
    <w:p>
      <w:r>
        <w:t>Diabetes increases risk of thrombosis by promoting platelet activation and inflammatory cell interactions (thromboinflammation). We propose to test whether a 1:1:1 aqueous blend of Moringa oleifera, Ocimum gratissimum, and Vernonia amygdalina reduces platelet activation and related thromboinflammatory markers in a rat model of type 2 diabetes. The approach uses a staged in vivo program: a pilot dose-response and PK stage (75, 150, optionally 300 mg/kg) followed by a definitive 28-day study at 150 mg/kg with balanced sexes and appropriate comparators (vehicle, individual herbs, aspirin, optional LMWH). Primary outcome is percent P-selectin–positive platelets by flow cytometry at Day 28. Secondary outcomes include platelet–leukocyte aggregates, D-dimer, NET markers (MPO–DNA, cell-free DNA), ex vivo microfluidic thrombus formation, and safety labs. Phytochemical batch QC and sparse PK for marker compounds will link exposure to effect. The expected contribution is a preregistered, mechanistic evaluation of triherbal anti-thromboinflammatory activity with standardized assays and toxicity data to support reproducible interpretation and translational planning.</w:t>
      </w:r>
    </w:p>
    <w:p>
      <w:r>
        <w:t xml:space="preserve"> </w:t>
      </w:r>
    </w:p>
    <w:p>
      <w:pPr>
        <w:pStyle w:val="Heading2"/>
      </w:pPr>
      <w:r>
        <w:t>Methodology</w:t>
      </w:r>
    </w:p>
    <w:p>
      <w:r>
        <w:t>Model and animals: Use male and female Sprague–Dawley rats. Induce type 2–like diabetes by 4 weeks high-fat diet (HFD) then low-dose streptozotocin (STZ ~35 mg/kg i.p.) to create insulin resistance plus partial β‑cell loss. Confirm diabetes by two non-fasting glucose readings &gt;11.1 mmol/L (200 mg/dL) or fasting &gt;16.7 mmol/L (300 mg/dL) before randomization. Extract preparation: prepare aqueous extracts of each herb, combine 1:1:1 by mass, concentrate and lyophilize to stable powder; produce COA with marker quantitation (chlorogenic acid, rosmarinic acid, luteolin-7-O-glucoside, vernolide fingerprint). Dosing: oral gavage once daily at target doses (pilot: 75,150,[300] mg/kg; definitive: 150 mg/kg) in vehicle (distilled water) volume ≤5 mL/kg. Acute toxicity: two-stage Lorke-style assessment to determine MTD/NOAEL. Randomization/blinding: stratify by baseline glucose and weight, computer randomize, blind dosing and endpoint analysts. Sampling and assays: weekly glucose monitoring (tail), baseline and terminal blood collections. Use citrate (3.2%) or hirudin for platelet assays, EDTA for CBC. Flow cytometry: quantify platelet P-selectin (CD62P) and PAC-1 (activated integrin) and platelet–leukocyte aggregates; explain: flow cytometry is a technique that labels cells with fluorescent antibodies to count and measure marker levels. Platelet function: light transmission aggregometry (LTA) with ADP and collagen (LTA measures how well platelets clump together by tracking light passing through platelet-rich plasma). Ex vivo thrombosis: whole-blood microfluidic perfusion over collagen to measure thrombus area and composition. Biomarkers: ELISAs for D-dimer, soluble P-selectin, PF4, IL-6, TNF-α; NET assays: MPO–DNA ELISA and cell-free DNA (cfDNA) quantification. PK and QC: sparse PK sampling for marker compounds (see experiments) with LC–MS/MS. Terminal tissues: collect liver, kidney, heart, aorta, pancreas, lungs, spleen for histology and organ weights. Data: preregister SAP, store raw FCS (flow), LC‑MS files, ELISA data and analysis scripts in version-controlled repository.</w:t>
      </w:r>
    </w:p>
    <w:p>
      <w:r>
        <w:t xml:space="preserve"> </w:t>
      </w:r>
    </w:p>
    <w:p>
      <w:pPr>
        <w:pStyle w:val="Heading2"/>
      </w:pPr>
      <w:r>
        <w:t>Experiments</w:t>
      </w:r>
    </w:p>
    <w:p>
      <w:r>
        <w:t>Stage 0 pilot (objective: dose signal and variance): Groups: diabetic vehicle, triherbal 75 mg/kg, triherbal 150 mg/kg, aspirin 10 mg/kg positive control; optional triherbal 300 mg/kg. n=6 per sex per group. Time: 28 days dosing. Primary readout: %P-selectin+ platelets at Day 28. Secondary: platelet–leukocyte aggregates, LTA AUC, D-dimer, NET markers, sparse PK (Day1: pre, 0.5,1,2,4,8 h; Day7 and Day28: pre and ~2 h post-dose). Analysis: estimate SD for primary endpoint and feed into Stage 1 sample-size re-estimation. Stage 1 definitive: Groups: non-diabetic control, diabetic vehicle, Moringa-alone 150 mg/kg, Ocimum-alone 150 mg/kg, Vernonia-alone 150 mg/kg, triherbal blend 150 mg/kg, aspirin 10 mg/kg, optional LMWH 1 mg/kg s.c.; n=12 per sex per group (adjust after pilot). Sampling: baseline, weekly glucose, baseline and Days 14, 28 blood for biomarkers; terminal functional assays and histology. Primary analysis (preregistered LMM): outcome_ij = Pselectin_ij; model: Pselectin ~ treatment * time + sex + baseline_glucose + (1 | animal). Fixed effects: treatment, time (categorical), treatment*time interaction, sex, baseline_glucose (continuous). Random effects: random intercept per animal; covariance structure: unstructured for repeated measures. Transformations: log-transform biomarkers with skew; report back-transformed estimates. Planned contrasts: each treatment vs diabetic vehicle and blend vs individual herbs; dose-response contrasts for pilot. Multiplicity control: hierarchical testing (primary endpoint first); secondary endpoints adjusted by Benjamini-Hochberg FDR for reporting. Missing data: use maximum likelihood under LMM for primary inference; if overall missing &gt;15% perform multiple imputation (MICE) as sensitivity. Outliers: flag observations &gt;3 SD from group mean, review blinded, document decisions; do not remove unless predefined technical failure. Evaluation metrics: primary—absolute and percent change in %P-selectin with 95% CI and p-value; secondary—D-dimer, cfDNA, MPO–DNA, LTA AUC, thrombus area (µm^2), PT/aPTT, ALT/creatinine. Baselines and comparators: vehicle and aspirin/LMWH serve as baselines for pharmacologic effect size. Ablation/comparisons: 1) blend vs each single herb (to test additive/unique effects); 2) pilot dose-response 75 vs150([vs300]) mg/kg; 3) omission ablation (if resources) removing one herb from blend to test contribution. Data outputs: raw FCS, LC-MS mzML, ELISA CSVs, analysis scripts; effect sizes and sample-size justification will be reported.</w:t>
      </w:r>
    </w:p>
    <w:p>
      <w:r>
        <w:t xml:space="preserve"> </w:t>
      </w:r>
    </w:p>
    <w:p>
      <w:pPr>
        <w:pStyle w:val="Heading2"/>
      </w:pPr>
      <w:r>
        <w:t>Risk Factors And Limitations</w:t>
      </w:r>
    </w:p>
    <w:p>
      <w:r>
        <w:t>Technical assay risks: artifactual platelet activation during blood draw and processing can bias P-selectin and aggregate measures; polyphenol-rich extracts can interfere with some ELISAs and light-scattering assays. Data risks: high inter-individual variability in diabetes severity and phytochemical exposure may reduce power. Extract risks: batch-to-batch phytochemical variability may confound interpretation if COAs are inconsistent. PK limits: low oral bioavailability of marker compounds may yield concentrations near LC–MS lower limit of quantitation (LLOQ), limiting PK–PD linkage. Animal welfare limits: blood volume and welfare constraints restrict dense PK sampling in single animals, reducing individual-level PK resolution. Statistical risks: sex-by-treatment interactions may be present but underpowered if sample sizes are constrained. Generalization limits: rodent diabetes models and herb metabolism differ from humans, limiting direct translational inference. Operational risks: supply chain or QC failures for reference standards (internal standards) or assay reagents may delay or invalidate planned assays. No mitigations are listed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