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fcm_trust_cds</w:t>
      </w:r>
    </w:p>
    <w:p>
      <w:r>
        <w:t xml:space="preserve"> </w:t>
      </w:r>
    </w:p>
    <w:p>
      <w:pPr>
        <w:pStyle w:val="Heading2"/>
      </w:pPr>
      <w:r>
        <w:t>Title</w:t>
      </w:r>
    </w:p>
    <w:p>
      <w:r>
        <w:t>Quantifying clinicians' perceived trust in interpretable COVID-19 clinical decision support using fuzzy cognitive maps</w:t>
      </w:r>
    </w:p>
    <w:p>
      <w:r>
        <w:t xml:space="preserve"> </w:t>
      </w:r>
    </w:p>
    <w:p>
      <w:pPr>
        <w:pStyle w:val="Heading2"/>
      </w:pPr>
      <w:r>
        <w:t>Short Hypothesis</w:t>
      </w:r>
    </w:p>
    <w:p>
      <w:r>
        <w:t>Aggregated, confidence-calibrated FCM-derived trust scores predict clinician adherence to CDS recommendations such that higher consensus trust is associated with higher adherence rates and faster time-to-decision.</w:t>
      </w:r>
    </w:p>
    <w:p>
      <w:r>
        <w:t xml:space="preserve"> </w:t>
      </w:r>
    </w:p>
    <w:p>
      <w:pPr>
        <w:pStyle w:val="Heading2"/>
      </w:pPr>
      <w:r>
        <w:t>Related Work</w:t>
      </w:r>
    </w:p>
    <w:p>
      <w:r>
        <w:t>Prior work measures clinician trust using self-report scales and studies explainable AI by producing feature-based or example-based explanations. Existing methods often treat trust as a scalar survey outcome or infer it indirectly from behavior. Fuzzy cognitive maps (FCMs) have been used to model causal mental models and to capture qualitative causal beliefs, but prior FCM applications in healthcare lack standardized normalization, confidence calibration, and rigorous degree-of-agreement (DoA) validation. Current explainability evaluations rarely link elicited mental models to behavior with preregistered aggregation or permutation inference, and small sample psychometric challenges are not systematically addressed. Limitations include inconsistent aggregation rules, amplification of overconfident respondents, unclear handling of missing or free-text nodes, weak mapping between explanation artifacts and cognitive constructs, and insufficiently prespecified DoA thresholds tied to practical decision criteria.</w:t>
      </w:r>
    </w:p>
    <w:p>
      <w:r>
        <w:t xml:space="preserve"> </w:t>
      </w:r>
    </w:p>
    <w:p>
      <w:pPr>
        <w:pStyle w:val="Heading2"/>
      </w:pPr>
      <w:r>
        <w:t>Abstract</w:t>
      </w:r>
    </w:p>
    <w:p>
      <w:r>
        <w:t>We present a preregistered method to elicit and quantify clinicians' perceived trust in an interpretable COVID-19 clinical decision support (CDS) system using fuzzy cognitive maps (FCMs). Clinicians build causal mental models relating core trust constructs (trust, transparency, perceived accuracy, risk, coherence, usefulness, time-to-decision) and assign signed edge weights (−1 to +1) plus confidence ratings. We introduce an anchored normalization algorithm that aligns individual scales using tutorial anchor vignettes and L2 normalization, and we apply confidence calibration using anchor-vignette accuracy to rescale or downweight overconfident inputs. Aggregation uses a preregistered confidence-and-experience weighted mean with robust sensitivity alternatives (median, trimmed mean, M-estimator). Degree-of-agreement is evaluated with network-level Kendall’s W, edge-level cosine similarity and normalized Euclidean distance, supported by permutation tests and bootstrap CIs. We link aggregated FCM trust to adherence and time-to-decision via mixed-effects models. Expected outcomes are reproducible FCM pipelines, calibrated trust scores, and validated DoA thresholds that predict clinician behavior and inform CDS design decisions.</w:t>
      </w:r>
    </w:p>
    <w:p>
      <w:r>
        <w:t xml:space="preserve"> </w:t>
      </w:r>
    </w:p>
    <w:p>
      <w:pPr>
        <w:pStyle w:val="Heading2"/>
      </w:pPr>
      <w:r>
        <w:t>Methodology</w:t>
      </w:r>
    </w:p>
    <w:p>
      <w:r>
        <w:t>1) Preparations: Define a compact FCM codebook of core nodes with one-sentence operational definitions and polarity rules. Prepare three tutorial anchor vignettes representing low/medium/high trust to train scales. 2) Recruitment and pilot: Recruit 30–40 clinicians across specialties; run a 5–8 clinician pilot to refine UI and anchors. 3) Elicitation: For each vignette, conduct a short qualitative prompt to list causal links, then have clinicians input numeric edge weights in [−1, +1] for specified core edges and optional free nodes; collect per-edge confidence (0–1) and per-node activations. Use pairwise adjacency (limited key edges) to reduce burden. 4) Normalization: First apply anchored scaling: for each clinician, map their responses on tutorial anchors to canonical anchor weight patterns and linearly rescale their numeric responses so anchor means match canonical anchors; then apply per-FCM L2 normalization (divide edge vector by its Euclidean norm) to standardize magnitude across clinicians. 5) Confidence calibration: Compute calibration curve and Brier score comparing confidence vs. accuracy on tutorial anchors. If systematic miscalibration detected (Brier &gt; preregistered threshold), rescale confidence via isotonic regression or replace confidence weights with clipped calibrated confidence. Pre-register cutoff rules. 6) Missing data and free nodes: Treat absent edges as missing-at-random; perform multiple imputation by chained equations (MICE) using other edges, clinician covariates, and vignette features; sensitivity analysis treats missing as zero. For free-text nodes, compute semantic embeddings and cluster by cosine similarity (threshold &gt;=0.75) and apply dual-coder adjudication; retain as core if prevalence &gt;=10% or adjudicated essential. 7) Aggregation: Primary: confidence_calibrated * (1 + min(years_experience,20)/20) weighted mean with contributor multiplier capped at 1.8. Sensitivity: median, 20% trimmed mean, Huber M-estimator. 8) Degree-of-agreement: Compute Kendall’s W (network), cosine similarity and normalized Euclidean distance (edge-level), weighted kappa for categorical trust. Use 10,000 permutation tests and bootstrap (2,000) CIs. 9) Psychometrics: For small-N factor analysis, use Bayesian CFA with weakly informative priors; if sample inadequate, run EFA with parallel analysis and report factor stability, or use parceling. 10) Modeling: Pre-register GLMMs linking aggregated trust to adherence and log(time-to-decision) with fixed effects (explanation_format, CDS_output, specialty, years_experience, vignette_difficulty, order) and random intercepts for clinician and vignette.</w:t>
      </w:r>
    </w:p>
    <w:p>
      <w:r>
        <w:t xml:space="preserve"> </w:t>
      </w:r>
    </w:p>
    <w:p>
      <w:pPr>
        <w:pStyle w:val="Heading2"/>
      </w:pPr>
      <w:r>
        <w:t>Experiments</w:t>
      </w:r>
    </w:p>
    <w:p>
      <w:r>
        <w:t>Datasets: (A) Programmatically generated synthetic vignette set (calibrated anchors); (B) Curated de-identified EHR-derived vignette set covering COVID-19 spectrum (8–12 vignettes per clinician). Participants: 30–40 clinicians, 8 vignettes each, 30–50% retest at 5–7 days. Baselines: (1) Unweighted mean aggregation; (2) Confidence-weighted without calibration; (3) Robust median aggregation; (4) Self-report scales (Trust in Automation, Lee &amp; See). Evaluation metrics: network Kendall’s W, edge cosine similarity, normalized Euclidean distance, weighted kappa, ICC for reliability, Brier score for confidence calibration, logistic model OR for adherence, percent change and RMSE for time-to-decision. Statistical tests: permutation tests (10,000) for DoA; bootstrap CIs (2,000) for metrics; FDR control via Benjamini–Hochberg for edge-wise tests. Experimental setup: randomize vignette order and explanation-format (Latin-square), log order. Pre-register GLMMs: adherence ~ aggregated_trust + explanation_format + CDS_output + specialty + years_experience + vignette_difficulty + order + (1|clinician) + (1|vignette) with logistic link; time-to-decision modeled with linear mixed model on log(seconds). Ablations: compare normalization variants (anchored+L2 vs per-FCM L1 vs rank-based), confidence calibration on vs off, imputation vs missing-as-zero, and aggregation methods (primary vs median vs trimmed vs M-estimator). Report all pre-specified metrics and sensitivity analyses.</w:t>
      </w:r>
    </w:p>
    <w:p>
      <w:r>
        <w:t xml:space="preserve"> </w:t>
      </w:r>
    </w:p>
    <w:p>
      <w:pPr>
        <w:pStyle w:val="Heading2"/>
      </w:pPr>
      <w:r>
        <w:t>Risk Factors And Limitations</w:t>
      </w:r>
    </w:p>
    <w:p>
      <w:r>
        <w:t>1) Small sample psychometrics: 30–40 clinicians may yield unstable CFA estimates; factor results may be unreliable. 2) Confidence bias: confidence-weighting can amplify overconfidence or seniority bias; calibration may not fully correct this. 3) Aggregation dominance: experienced clinicians could dominate aggregates even with caps. 4) Missing data: extensive missing edges or sparse free-node responses can bias imputations. 5) Free-node merging: semantic clustering thresholds may mismerge distinct concepts or split synonyms. 6) Mapping validity: assumed mapping from explanation artifacts to FCM nodes may not reflect clinicians' interpretations. 7) Generalizability: results limited to COVID-19 vignettes and recruited clinician demographics and settings. 8) Behavioral link causality: observed associations between trust scores and adherence are correlational and may not imply causation. 9) Cognitive burden: session length and task complexity may cause satisficing or nonresponse. 10) Computational cost: permutation tests and multiple imputations increase compute time. 11) Ethical risks: misinterpreting trust metrics could lead to premature deployment of CDS features without broader 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