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ptb_anomaly_detection</w:t>
      </w:r>
    </w:p>
    <w:p>
      <w:r>
        <w:t xml:space="preserve"> </w:t>
      </w:r>
    </w:p>
    <w:p>
      <w:pPr>
        <w:pStyle w:val="Heading2"/>
      </w:pPr>
      <w:r>
        <w:t>Title</w:t>
      </w:r>
    </w:p>
    <w:p>
      <w:r>
        <w:t>Probabilistic anomaly detection for identifying annotation errors in the Penn Treebank part-of-speech corpus</w:t>
      </w:r>
    </w:p>
    <w:p>
      <w:r>
        <w:t xml:space="preserve"> </w:t>
      </w:r>
    </w:p>
    <w:p>
      <w:pPr>
        <w:pStyle w:val="Heading2"/>
      </w:pPr>
      <w:r>
        <w:t>Short Hypothesis</w:t>
      </w:r>
    </w:p>
    <w:p>
      <w:r>
        <w:t>Fusing calibrated per-token log-likelihoods from HMM/CRF sequence models with reconstruction-based anomaly scores from BERT-derived features will detect annotation errors in the Penn Treebank such that precision@100 ≥ 0.80 and AUPRC is significantly higher than unigram and low-transition baselines.</w:t>
      </w:r>
    </w:p>
    <w:p>
      <w:r>
        <w:t xml:space="preserve"> </w:t>
      </w:r>
    </w:p>
    <w:p>
      <w:pPr>
        <w:pStyle w:val="Heading2"/>
      </w:pPr>
      <w:r>
        <w:t>Related Work</w:t>
      </w:r>
    </w:p>
    <w:p>
      <w:r>
        <w:t>Prior work applies probabilistic sequence models, calibration methods, active learning, and neural contextual representations to detect annotation errors or low-confidence tags in POS-tagged corpora. Classical HMMs and CRFs provide interpretable per-token likelihoods but often lack calibration across token-frequency strata. Simple heuristics (unigram tag-frequency thresholds and low-transition-probability rules) are lightweight but miss contextual anomalies. Neural methods using contextual embeddings improve sensitivity but can absorb label noise and lack calibrated probabilities. Density estimators and reconstruction approaches can flag outliers in mixed feature spaces but face challenges encoding categorical POS labels and producing valid likelihoods. Many prior studies use synthetic error injection without strong empirical validation against known errata, limiting realism claims. Reproducibility and explicit adjudication protocols are often under-specified, and per-POS or per-frequency calibration and power analyses are rarely reported.</w:t>
      </w:r>
    </w:p>
    <w:p>
      <w:r>
        <w:t xml:space="preserve"> </w:t>
      </w:r>
    </w:p>
    <w:p>
      <w:pPr>
        <w:pStyle w:val="Heading2"/>
      </w:pPr>
      <w:r>
        <w:t>Abstract</w:t>
      </w:r>
    </w:p>
    <w:p>
      <w:r>
        <w:t>We address automatic detection of annotation errors in a manually tagged part-of-speech corpus by applying statistical anomaly detection. The approach fits probabilistic models over tokens and tags to learn typical annotation patterns and flags elements that deviate from these patterns as potential errors. We combine interpretable per-token log-likelihoods from first- and second-order HMMs and linear-chain CRFs with reconstruction-based anomaly scores computed on pooled BERT token features. Scores are calibrated to produce reliable per-token anomaly probabilities and fused by a small logistic meta-model trained on adjudicated examples. Synthetic error injections are driven by confusion matrices derived from documented PTB errata to preserve realism, and a stratified adjudication protocol yields human-verified labels for evaluation. The main contribution is a reproducible pipeline that integrates probabilistic sequence scoring, contextual reconstruction, calibration, and adjudication to improve precision@k and AUPRC for annotation-error detection while controlling reviewer burden. Expected outcome: a validated, auditable method that reliably surfaces annotation errors for efficient human review.</w:t>
      </w:r>
    </w:p>
    <w:p>
      <w:r>
        <w:t xml:space="preserve"> </w:t>
      </w:r>
    </w:p>
    <w:p>
      <w:pPr>
        <w:pStyle w:val="Heading2"/>
      </w:pPr>
      <w:r>
        <w:t>Methodology</w:t>
      </w:r>
    </w:p>
    <w:p>
      <w:r>
        <w:t>1) Data preprocessing: canonicalize Penn Treebank (PTB) tokens and tags, record checksums, and export sentence-aligned token/tag pairs. 2) Realistic injection: fit empirical confusion matrices from PTB errata and aligned Treebank corrections; sample injected errors by tag-swap, split/merge tokenization, and tagset-mapping types using fixed RNG seeds. Use KS and Earth-Mover distance to compare injected and empirical distributions. (KS: a statistical test comparing two distributions; EMD: a distance measuring how much probability mass must move to match distributions.) 3) Feature extraction: compute per-token features: token string, frequency rank, prefix/suffix, capitalization flag, digit/URL flag, tokenization-boundary indicators, emission probabilities from lexicon, HMM/CRF per-token log-likelihoods, tag-transition log-probs, and pooled BERT token embeddings (mean of subword vectors). 4) Baselines: implement unigram tag-frequency threshold and low-transition-probability heuristic; add lexicon mismatch rule. 5) Classical detectors: train 1st- and 2nd-order HMMs and linear-chain CRF on canonical PTB to produce per-token log-likelihoods and marginals. (Log-likelihood: the numeric score measuring how likely a tag is under the model.) 6) Neural detectors: extract pooled BERT embeddings and train a lightweight autoencoder to reconstruct fused feature vectors; use reconstruction error as an anomaly score. 7) Density estimator: fit a Masked Autoregressive Flow (MAF) on continuous features and on numeric encodings of categorical signals; encode categories via one-hot or learned embeddings as needed (one-hot: binary vector with a single 1 for the category). 8) Calibration: convert raw scores to probabilities using isotonic regression or temperature scaling; produce per-POS and per-frequency calibration reports (reliability diagrams, Expected Calibration Error (ECE), Brier score). 9) Score fusion: train a regularized logistic regression meta-model on held-out, adjudicated data to combine calibrated detector outputs into a final anomaly probability. 10) Adjudication and active learning: sample stratified batches (score quantiles, injection type, frequency bins), have three annotators plus adjudicator label items; use labels to retrain fusion model and recalibrate. 11) Reproducibility: containerize code, track experiments with MLflow, store data artifacts with DVC/Git-LFS, and publish manifests and RNG seeds compatible with PTB licensing.</w:t>
      </w:r>
    </w:p>
    <w:p>
      <w:r>
        <w:t xml:space="preserve"> </w:t>
      </w:r>
    </w:p>
    <w:p>
      <w:pPr>
        <w:pStyle w:val="Heading2"/>
      </w:pPr>
      <w:r>
        <w:t>Experiments</w:t>
      </w:r>
    </w:p>
    <w:p>
      <w:r>
        <w:t>Datasets: Penn Treebank (PTB) canonicalized; PTB errata and Treebank-3 correction logs for empirical error patterns; OntoNotes mappings for cross-checks. Injection rates: {0.5, 1, 2, 5, 10}% corruptions applied per family (tag-swap, tokenization split/merge, mapping errors). Train/validation/test splits: pre-registered stratified 5-fold CV with an embargoed held-out test set (10% of sentences) never used during model selection; random seeds fixed. Baselines: (B1) unigram tag-frequency threshold, (B2) low-transition-prob heuristic, (B3) lexicon mismatch. Detectors: (D1) 1st-order HMM per-token LL, (D2) 2nd-order HMM, (D3) linear-chain CRF token marginals, (D4) BERT-feature autoencoder reconstruction error, (D5) MAF density on fused features, (D6) logistic regression fusion of calibrated D1–D5. Evaluation metrics: precision@100, precision@500, area under precision-recall curve (AUPRC) with 95% bootstrap CIs, Brier score, ECE (per-POS and per-frequency), Fleiss' kappa for adjudicator agreement, human-verified FP rate at chosen operating point. Statistical tests: bootstrap test for AUPRC lift (1,000 bootstrap samples), permutation test for precision@100 differences, and multiple-comparison correction (Benjamini-Hochberg) across planned subgroup analyses. Adjudication protocol: pilot batch N=1,200 tokens stratified by score quantile (top 1%, 1–5%, 5–20%, random), three annotators + adjudicator, collect final tag, tokenization flag, rationale, and time spent; goal ≈400 verified positives per pilot. Ablation: compare fusion model performance when removing (A1) BERT features, (A2) HMM/CRF LLs, (A3) tokenization indicators; report delta precision@100 and AUPRC. Compute setup: HMM/CRF on CPU (&lt;4GB RAM), BERT feature extraction + autoencoder training on single GPU (≥16GB), MAF training on GPU; record runtime and resource usage per experiment and publish manifests.</w:t>
      </w:r>
    </w:p>
    <w:p>
      <w:r>
        <w:t xml:space="preserve"> </w:t>
      </w:r>
    </w:p>
    <w:p>
      <w:pPr>
        <w:pStyle w:val="Heading2"/>
      </w:pPr>
      <w:r>
        <w:t>Risk Factors And Limitations</w:t>
      </w:r>
    </w:p>
    <w:p>
      <w:r>
        <w:t>1) Injection realism: synthetic errors may not fully match real-world errata despite KS/EMD matching; human-blind realism tests may still show gaps. 2) Label subjectivity: annotator disagreement and ambiguous cases limit gold-standard quality and reduce measurable precision. 3) Calibration fragility: calibration methods may fail across low-frequency tokens or rare POS classes, producing unreliable anomaly probabilities in those strata. 4) Density modeling for mixed data: MAF and autoregressive models may not produce valid likelihoods for mixed categorical and continuous inputs without careful encoding, risking biased scores. 5) Meta-model overfitting: the logistic fusion can overfit to adjudicated samples if folds and regularization are not strictly enforced. 6) Compute constraints: BERT-based components require GPUs and longer runtimes, limiting rapid iteration for large-scale experiments. 7) Generalization limits: models trained on PTB may not transfer to other corpora, tagsets, or genres without adaptation. 8) Licensing and dissemination: PTB redistribution restrictions limit release of raw annotated data; published artifacts must avoid violating corpus terms. 9) Operational reviewer burden: thresholds tuned to meet precision targets may still produce unacceptable reviewer load in production if prevalence or error patterns differ from pilots.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