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hierarchical_occlusion_mri_xai</w:t>
      </w:r>
    </w:p>
    <w:p>
      <w:r>
        <w:t xml:space="preserve"> </w:t>
      </w:r>
    </w:p>
    <w:p>
      <w:pPr>
        <w:pStyle w:val="Heading2"/>
      </w:pPr>
      <w:r>
        <w:t>Title</w:t>
      </w:r>
    </w:p>
    <w:p>
      <w:r>
        <w:t>Hierarchical 3D occlusion and ensemble explainability for MRI diagnostic support in distal myopathies</w:t>
      </w:r>
    </w:p>
    <w:p>
      <w:r>
        <w:t xml:space="preserve"> </w:t>
      </w:r>
    </w:p>
    <w:p>
      <w:pPr>
        <w:pStyle w:val="Heading2"/>
      </w:pPr>
      <w:r>
        <w:t>Short Hypothesis</w:t>
      </w:r>
    </w:p>
    <w:p>
      <w:r>
        <w:t>A hierarchical 3D occlusion method combined with an ensemble fusion of multiple XAI techniques will produce region-level explanations that increase localization accuracy (mean IoU) and radiologist diagnostic confidence compared to single-method explanations.</w:t>
      </w:r>
    </w:p>
    <w:p>
      <w:r>
        <w:t xml:space="preserve"> </w:t>
      </w:r>
    </w:p>
    <w:p>
      <w:pPr>
        <w:pStyle w:val="Heading2"/>
      </w:pPr>
      <w:r>
        <w:t>Related Work</w:t>
      </w:r>
    </w:p>
    <w:p>
      <w:r>
        <w:t>Prior work produces explanations for medical images using gradient-based methods (e.g., Grad-CAM, Integrated Gradients), perturbation-based occlusion, and model-agnostic attribution (e.g., SHAP). Gradient methods are fast but can be diffuse and sensitive to noise; perturbation/occlusion gives higher-fidelity causal signals but is computationally expensive and often applied in 2D or without anatomical constraints. Ensemble or fusion approaches have been proposed to combine strengths of multiple methods, but many lack anti-circularity safeguards (fusion trained on the same labels used by base models), produce inconsistent trust scores, and are rarely evaluated with rigorous reader studies or cross-site robustness checks. Existing studies also often omit formal privacy/attack baselines for explanation outputs and do not provide provenance suitable for regulatory review. These gaps limit clinical trust, scalability to 3D MRI, and regulatory readiness.</w:t>
      </w:r>
    </w:p>
    <w:p>
      <w:r>
        <w:t xml:space="preserve"> </w:t>
      </w:r>
    </w:p>
    <w:p>
      <w:pPr>
        <w:pStyle w:val="Heading2"/>
      </w:pPr>
      <w:r>
        <w:t>Abstract</w:t>
      </w:r>
    </w:p>
    <w:p>
      <w:r>
        <w:t>We propose a practical framework that combines hierarchical 3D occlusion with an ensemble fusion of explainability methods to generate clinician-oriented visual explanations for MRI-based diagnostic support of distal myopathies. The approach builds anatomically coherent occlusion units aligned to a distal muscle atlas and uses prioritized, multi-resolution occlusion to limit compute to salient regions. Multiple XAI methods (gradient-based, perturbation-based, and model-agnostic) are fused by a lightweight meta-model that outputs a fused map plus per-region trust scores. We enforce anti-circularity by separating data used to train the base classifier from data used to train the fusion model and pre-specify fidelity, robustness, and privacy metrics. Expected outcomes are improved region-level localization accuracy (IoU), higher radiologist confidence, quantified robustness across preprocessing/harmonization, and an auditable provenance schema for regulatory traceability. The framework is designed for reproducible evaluation including MRMC reader studies and measurable privacy baselines for explanation outputs.</w:t>
      </w:r>
    </w:p>
    <w:p>
      <w:r>
        <w:t xml:space="preserve"> </w:t>
      </w:r>
    </w:p>
    <w:p>
      <w:pPr>
        <w:pStyle w:val="Heading2"/>
      </w:pPr>
      <w:r>
        <w:t>Methodology</w:t>
      </w:r>
    </w:p>
    <w:p>
      <w:r>
        <w:t>1) Data curation: collect multi-site volumetric MRI (T1 for chronic fatty change, STIR/T2 for edema) with per-muscle binary masks and a 4-point severity label per muscle. Use BIDS-style metadata and record scanner, sequence, site. 2) Base classifier: train a 3D CNN or hybrid CNN-transformer to predict case-level labels and per-region scores. (CNN = convolutional neural network, extracts local patterns; transformer = model capturing long-range spatial context.) 3) XAI methods: compute a set of explanations per case: (a) gradient-based maps (Grad-CAM, Integrated Gradients, SmoothGrad) — fast saliency signals, (b) model-agnostic perturbation maps (hierarchical 3D occlusion) — measure change in model output when anatomically contiguous 3D regions are occluded, (c) SHAP-style or counterfactual maps for complementary insights. 4) Hierarchical occlusion: define occlusion units from whole-muscle to subregion using an atlas. Perform multi-resolution occlusion: coarse atlas-level occlusion first, then fine occlusion only on top-K salient regions seeded by fast gradient maps to reduce compute. Ensure 3D contiguity across slices. 5) Fusion meta-model: input stacked normalized maps (per-method) and optional model logits; output fused explanation map and per-region trust scores. Use a lightweight U-Net or small convolutional ensemble with regularization and a calibration loss combining Dice (overlap) and Brier/ECE (calibration). 6) Anti-circularity: split data so base classifier trains on fold A, fusion trains on explanations from fold B with radiologist labels not used in A; keep an external radiologist-held test fold C for final validation. 7) Metrics and provenance: compute region IoU/Dice, insertion/deletion AUC (measures causal effect of removing/adding regions), rank-correlation of region importance, ECE/Brier for calibration, and sanity checks (randomization tests). Log provenance per explanation: model hash, checkpoint, preprocessing hash, atlas version, seed, method list/weights, per-region trust, subject anonymized ID, site, sequence, timestamp. 8) Compute pragmatics: parallelize occlusion across GPUs, cache forward passes, and provide a fast-MVP mode (atlas-level occlusion + Grad-CAM fusion) for low-latency clinical use.</w:t>
      </w:r>
    </w:p>
    <w:p>
      <w:r>
        <w:t xml:space="preserve"> </w:t>
      </w:r>
    </w:p>
    <w:p>
      <w:pPr>
        <w:pStyle w:val="Heading2"/>
      </w:pPr>
      <w:r>
        <w:t>Experiments</w:t>
      </w:r>
    </w:p>
    <w:p>
      <w:r>
        <w:t>Datasets: development set 200 cases across 4 sites (stratified by diagnosis/severity), external holdout 50 cases from an unseen site, and pilot reader-study set 100 cases (80 internal holdout + 20 external). Use per-case multi-sequence volumes (T1 and STIR/T2) and per-muscle masks. Baselines: (B0) base classifier with no explanation; (B1) Grad-CAM; (B2) Integrated Gradients; (B3) hierarchical occlusion only (full 3D); (B4) naive average ensemble of maps; (B5) fusion model trained without anti-circularity. Proposed methods: (M1) prioritized hierarchical occlusion + fusion trained under anti-circularity. Evaluation metrics: detection AUC for diagnostic labels; region IoU and Dice between explanation regions and expert masks; insertion AUC and deletion AUC; rank-correlation of region importance vs radiologist ranking; ECE and Brier score for calibration; MRMC endpoints: change in diagnostic confidence (Likert), decision-change rate, time-to-decision. Statistical tests: Obuchowski-Rockette-Hillis MRMC analysis for AUC and IoU; paired t-test or Wilcoxon for confidence change; Holm-Bonferroni for multiple comparisons. Ablation studies: A) Full 3D occlusion vs prioritized occlusion (measure IoU and runtime); B) Fusion trained with held-out radiologist fold vs fusion trained on same folds as base model (test for circularity by comparing IoU improvements and overfitting indicators); C) Fusion architecture variants (weighting rules: learned weights vs fixed median vs gating by trust-score) and regularization ablation (with vs without calibration loss). Privacy/attack baselines: run inversion and membership-inference attacks on explanation outputs and report attack success rates; set measurable targets in the SAP. Compute profiling: measure per-case latency and GPU/memory for full 3D occlusion and for MVP; report worst-case timings and resource requirements. Pre-registration: register primary endpoints, sample sizes, and analysis plan before unblinded evaluation.</w:t>
      </w:r>
    </w:p>
    <w:p>
      <w:r>
        <w:t xml:space="preserve"> </w:t>
      </w:r>
    </w:p>
    <w:p>
      <w:pPr>
        <w:pStyle w:val="Heading2"/>
      </w:pPr>
      <w:r>
        <w:t>Risk Factors And Limitations</w:t>
      </w:r>
    </w:p>
    <w:p>
      <w:r>
        <w:t>1) Technical compute cost: full 3D hierarchical occlusion is computationally heavy and may not meet clinical latency without approximations. 2) Annotation variability: inter-reader disagreement on per-muscle masks can reduce measured IoU and complicate MRMC power estimates. 3) Anti-circularity weaknesses: imperfect data splits or hidden covariates could still allow fusion to exploit base-model artifacts. 4) Privacy leakage: explanations (saliency/occlusion maps) can leak information; quantitative attack success may exceed acceptable bounds. 5) Generalization: models and explanations trained on limited sites/scanners may not generalize to new sites or sequences. 6) Evaluation bias: metrics like IoU may not fully capture clinical usefulness or decision impact. 7) Regulatory constraints: provenance and DPIA requirements may slow deployment and restrict data sharing. 8) Scalability: need for GPU clusters for large-scale occlusion limits portability. 9) Failure modes: explanations may highlight confounders (text, markers) instead of pathology, leading to misleading trust signals. 10) Limited causal claims: perturbation-based localization shows association via model output change but does not prove true biological causality.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