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sasnet_semi_sdf_fourier</w:t>
      </w:r>
    </w:p>
    <w:p>
      <w:r>
        <w:t xml:space="preserve"> </w:t>
      </w:r>
    </w:p>
    <w:p>
      <w:pPr>
        <w:pStyle w:val="Heading2"/>
      </w:pPr>
      <w:r>
        <w:t>Title</w:t>
      </w:r>
    </w:p>
    <w:p>
      <w:r>
        <w:t>Scale-aware adaptive supervised network (SASNet) for semi-supervised 3D medical image segmentation with limited annotations</w:t>
      </w:r>
    </w:p>
    <w:p>
      <w:r>
        <w:t xml:space="preserve"> </w:t>
      </w:r>
    </w:p>
    <w:p>
      <w:pPr>
        <w:pStyle w:val="Heading2"/>
      </w:pPr>
      <w:r>
        <w:t>Short Hypothesis</w:t>
      </w:r>
    </w:p>
    <w:p>
      <w:r>
        <w:t>Integrating a temporal per-voxel confidence EMA, scale-aware adaptive gating of low/high features, Fourier-domain view-variance augmentation, and segmentation–SDF consistency into a unified semi-supervised loss will increase boundary Dice by at least 0.03 and reduce HD95 by at least 10% versus a matched semi-supervised baseline without these components under low-label regimes (≤10% labels).</w:t>
      </w:r>
    </w:p>
    <w:p>
      <w:r>
        <w:t xml:space="preserve"> </w:t>
      </w:r>
    </w:p>
    <w:p>
      <w:pPr>
        <w:pStyle w:val="Heading2"/>
      </w:pPr>
      <w:r>
        <w:t>Related Work</w:t>
      </w:r>
    </w:p>
    <w:p>
      <w:r>
        <w:t>Semi-supervised medical segmentation methods commonly use pseudo-labeling, confidence-based reweighting, and consistency regularization. Multi-scale architectures fuse features at different resolutions but typically use fixed weighting or simple attention that is not confidence-aware. Fourier or spectral augmentations have been used to simulate imaging variability, but prior work often lacks strict Hermitian/DC constraints or label-warp policies and can destabilize training. Signed distance map (SDF) supervision has been applied to improve boundaries, but previous methods rarely combine SDF regression with per-voxel trust or scale-aware fusion. Current limitations: (1) pseudo-label confirmation bias when trust is not temporally accumulated and calibrated; (2) static or global branch fusion that fails at object boundaries or for small structures; (3) spectral augmentations without reproducible parameter logging and safeguards; (4) SDF losses used in isolation without joint segmentation consistency and gradient alignment. These gaps reduce robustness under annotation scarcity and across institutions.</w:t>
      </w:r>
    </w:p>
    <w:p>
      <w:r>
        <w:t xml:space="preserve"> </w:t>
      </w:r>
    </w:p>
    <w:p>
      <w:pPr>
        <w:pStyle w:val="Heading2"/>
      </w:pPr>
      <w:r>
        <w:t>Abstract</w:t>
      </w:r>
    </w:p>
    <w:p>
      <w:r>
        <w:t>We present SASNet, a semi-supervised framework for 3D medical image segmentation designed for limited and variable annotations. SASNet combines four elements: (1) temporal per-voxel confidence accumulation using an exponential moving average (EMA) of predicted probabilities to produce a trust mask for safe pseudo-labeling; (2) a scale-aware adaptive gating MLP that fuses low-level and high-level branch logits per voxel, conditioned on local features and log-confidence; (3) a reproducible 3D Fourier-domain augmentation that perturbs amplitude and phase within bounded bands while enforcing Hermitian symmetry and DC constraints to simulate view and acquisition variance; and (4) segmentation–SDF consistency learning that regresses normalized signed distance maps and aligns SDF gradients with predicted boundaries. The joint loss weights segmentation, SDF regression, and consistency terms and anneals pseudo-label contributions by mean trust. SASNet aims to improve boundary precision and robustness to annotation scarcity and inter-rater variability, providing reproducible augmentation and decision thresholds for safe clinical adaptation.</w:t>
      </w:r>
    </w:p>
    <w:p>
      <w:r>
        <w:t xml:space="preserve"> </w:t>
      </w:r>
    </w:p>
    <w:p>
      <w:pPr>
        <w:pStyle w:val="Heading2"/>
      </w:pPr>
      <w:r>
        <w:t>Methodology</w:t>
      </w:r>
    </w:p>
    <w:p>
      <w:r>
        <w:t>Overview: Implement a dual-branch 3D network (low-level branch for fine spatial detail, high-level branch for semantic context). Fuse logits per voxel via a learned gate G that uses local descriptors plus temporal confidence. Use Fourier augmentation to generate view-variance inputs and SDF targets for boundary supervision.</w:t>
        <w:br/>
        <w:br/>
        <w:t>Components and steps:</w:t>
        <w:br/>
        <w:t>1) Temporal per-voxel confidence (EMA): maintain c_t(x) per voxel x and epoch t. For unlabeled voxels: c_t(x)=alpha*c_{t-1}(x)+(1-alpha)*p_t(x) where p_t is current softmax probability of the predicted class. Default alpha=0.9 (range 0.8–0.98). For labeled voxels reset c_t(x)=1 after supervised update. Initialize c_0(x)=p_0(x). Trust mask T_t(x)=1 if c_t(x) &gt;= tau_t. Use tau_t schedule: tau_0=0.95 linearly to tau_final=0.70 over first 50 epochs. Explain: EMA smooths transient errors so consistently confident voxels are trusted.</w:t>
        <w:br/>
        <w:br/>
        <w:t>2) Scale-aware gating MLP G: per-voxel input = [f_low(x), f_high(x), log(c_t(x)+eps)]. Architecture: Conv3d 1x1 (in -&gt; 64) -&gt; ReLU -&gt; Conv3d 1x1 (64 -&gt; 16) -&gt; ReLU -&gt; Conv3d 1x1 (16 -&gt; 1) -&gt; Sigmoid. Kaiming init, final bias=0 to center g≈0.5. Fused logits: L_fused = g(x)*L_low + (1-g(x))*L_high. Regularizers: L1 on (g-0.5) weight lambda_g=1e-3 and optional small entropy penalty. Note: Conv3d 1x1 is a per-voxel MLP implemented in convolution form.</w:t>
        <w:br/>
        <w:br/>
        <w:t>3) 3D Fourier-domain view-variance augmentation: For input volume V, compute F=FFT(V)=A*exp(i theta). Build radial band windows W_low,W_mid,W_high. Sample amplitude scalars a_low∈Uniform[-0.05,0.05], a_mid∈[-0.10,0.15], a_high∈[-0.15,0.20]. Set M_amp=1 + a_low*W_low + a_mid*W_mid + a_high*W_high. Phase perturbation = phi_ramp(k) + phi_rand(k) with phi_ramp amplitude alpha_phi∈[0,0.3] rad and phi_rand a smoothed low-pass random field beta∈[0,0.3] rad. Enforce Hermitian symmetry and limit DC amplitude change to ±2%. Reconstruct V' = IFFT(A*M_amp * exp(i*(theta+phi))). Log seed and all sampled parameters per-volume in JSON. Anneal perturbation magnitudes linearly to 50% by epoch 50. Explain: Hermitian symmetry ensures the inverse FFT is real-valued; DC preservation avoids global intensity shifts.</w:t>
        <w:br/>
        <w:br/>
        <w:t>4) Label warping and SDF generation: If Fourier phase introduces coherent low-frequency displacement, compute a displacement field d(x) = IFFT{low-pass complex noise} scaled to m_disp in [0.5,3.0] mm and warp binary masks using smooth interpolation. Recompute SDFs and clip to ±d_max (default d_max=20 mm) then normalize SDF_target = clamp(SDF_raw, -d_max, d_max)/d_max. Use nearest or area-preserving interpolation for masks (recommend nearest with boundary anti-aliasing) and bilinear/trilinear for SDF warping when generating continuous targets. Note: Warping labels for on-the-fly backprop is non-differentiable if implemented with discrete nearest mapping—decide if backprop through label warp is required; otherwise treat warp as data augmentation and freeze labels for gradient path.</w:t>
        <w:br/>
        <w:br/>
        <w:t>5) Losses and training loop:</w:t>
        <w:br/>
        <w:t>- Segmentation loss L_seg = lambda_ce * weighted_CE + lambda_dice*(1 - softDice). Use inverse class frequency for CE weights.</w:t>
        <w:br/>
        <w:t>- SDF loss L_sdf = lambda_sdf * mean |SDF_pred - SDF_target| (normalized targets).</w:t>
        <w:br/>
        <w:t>- Gradient alignment L_grad = lambda_grad * mean ||normalize(∇SDF_pred) - normalize(∇SDF_target)||^2 in band |SDF_target|&lt;=delta (delta=2 voxels).</w:t>
        <w:br/>
        <w:t>- Consistency loss L_cons = lambda_cons * mean |softmax(L_fused) - pseudo_label| on trusted voxels only.</w:t>
        <w:br/>
        <w:t>Total L = L_seg + L_sdf + L_grad + L_cons. Defaults: lambda_seg=1.0, lambda_sdf=0.5, lambda_grad=0.2, lambda_cons=0.5. Anneal pseudo-label contribution by multiplying by mean(T_t) each epoch and by beta_pl(t) from 0.5-&gt;1.0 as trust rises.</w:t>
        <w:br/>
        <w:br/>
        <w:t>6) Pseudo-labeling details: produce soft pseudo-labels q_t = softmax(z_t / tau_soft) with tau_soft=0.5. Apply pseudo loss only where T_t=1. Weight per-voxel pseudo loss by w(x)=c_t(x)^gamma (gamma=1). Optionally ablate hard labels via argmax.</w:t>
        <w:br/>
        <w:br/>
        <w:t>7) Numerical and FFT constraints: for anisotropic voxels, resample input to isotropic spacing before FFT or apply frequency bands scaled per-axis; enforce Nyquist by clamping phase ramps to avoid displacements larger than half the smallest voxel dimension in voxels. Use torch.fft.rfftn/irfftn for memory efficiency. Log SSIM(original,augmented) and spectral energy ratio.</w:t>
        <w:br/>
        <w:br/>
        <w:t>8) Logging and diagnostics: per-epoch Dice, HD95, SDF L1, ECE, median c_t, histogram of c_t, augmentation SSIM distribution, augmentation parameter histograms, and seed records. Automatic rules: disable or reduce Fourier augmentations if validation Dice drops &gt;5% over 2-3 epochs and SDF L1 increases &gt;10% or median c_t drops &gt;0.1.</w:t>
        <w:br/>
        <w:br/>
        <w:t>9) Implementation notes: use mixed precision, patch-based training (default patch 128^3, batch 2), gradient accumulation if needed. Provide light variant: 64^3 patch, halved channels. Unit tests: Hermitian symmetry, real IFFT within tolerance, SDF zero-crossing preservation after warp.</w:t>
      </w:r>
    </w:p>
    <w:p>
      <w:r>
        <w:t xml:space="preserve"> </w:t>
      </w:r>
    </w:p>
    <w:p>
      <w:pPr>
        <w:pStyle w:val="Heading2"/>
      </w:pPr>
      <w:r>
        <w:t>Experiments</w:t>
      </w:r>
    </w:p>
    <w:p>
      <w:r>
        <w:t>Datasets: Use at least two multi-institutional 3D CT/MR datasets per anatomy (example organs: liver, prostate, brain tumor) with patient-wise splits. Create labeled fractions: 1%, 5%, 10%, 20% labeled training examples; remaining training volumes are unlabeled. Reserve an external holdout institution not used in training for final evaluation.</w:t>
        <w:br/>
        <w:br/>
        <w:t>Baselines: (B0) supervised-only model trained on labeled subset; (B1) semi-supervised baseline using mean-teacher or classic pseudo-labeling with confidence thresholding but without scale-aware gate, Fourier augmentations, or SDF losses; (B2) same architecture but fixed (non-learned) fusion of branches.</w:t>
        <w:br/>
        <w:br/>
        <w:t>Primary metrics: volumetric Dice coefficient and 95th percentile Hausdorff distance (HD95). Secondary metrics: boundary F1, average surface distance (ASD), SDF L1 error, Expected Calibration Error (ECE, 10 bins), Brier score. Also log SSIM between original and augmented volumes and median c_t.</w:t>
        <w:br/>
        <w:br/>
        <w:t>Ablations (pre-registered matrix):</w:t>
        <w:br/>
        <w:t>- A1: remove Fourier augmentation (no-FFT)</w:t>
        <w:br/>
        <w:t>- A2: amplitude-only FFT</w:t>
        <w:br/>
        <w:t>- A3: phase-only FFT</w:t>
        <w:br/>
        <w:t>- A4: amplitude+phase FFT</w:t>
        <w:br/>
        <w:t>- A5: gating ablation: replace learned gate with fixed 0.5 (no gating)</w:t>
        <w:br/>
        <w:t>- A6: disable temporal EMA (c_t disabled; use instantaneous p_t)</w:t>
        <w:br/>
        <w:t>- A7: remove SDF losses (no SDF)</w:t>
        <w:br/>
        <w:t>- A8: label-warp vs no-warp policy for phase perturbations</w:t>
        <w:br/>
        <w:br/>
        <w:t>For each labeled fraction run: 5 random seeds × 3 folds = 15 runs per condition. Record per-run metrics.</w:t>
        <w:br/>
        <w:br/>
        <w:t>Hyperparameter sensitivity sweeps (pre-registered): alpha in {0.8,0.9,0.98}; tau schedule end in {0.6,0.7,0.8}; tau_soft in {0.3,0.5,1.0}; beta_pl start in {0.3,0.5,0.7}; gamma in {0.5,1.0,2.0}; lambda_sdf in {0.2,0.5,1.0}; d_max in {10mm,20mm,40mm}; SSIM warp threshold in {0.75,0.80,0.85}.</w:t>
        <w:br/>
        <w:br/>
        <w:t>Statistical analysis and pre-registration: For primary metric Dice, use paired Wilcoxon signed-rank test across matched seeds and folds versus baseline B1, with Benjamini-Hochberg correction across ablations. Pre-register detectable effect size target: Dice improvement &gt;=0.03 with power 0.8 at alpha=0.05 given 15 paired runs (estimate from pilot variance). Report 95% confidence intervals and effect sizes. Also report failure modes if Dice decreases &gt;0.03 or HD95 increases &gt;10% vs baseline.</w:t>
        <w:br/>
        <w:br/>
        <w:t>Training details: patch size 128^3, batch 2, mixed precision, AdamW optimizer lr=1e-4 for backbone, pseudo-loss lr multiplier 0.5 (conservative), weight decay 1e-5, train 200 epochs with tau_t anneal over first 50 epochs. Early stopping monitored on validation Dice with patience 20 epochs.</w:t>
        <w:br/>
        <w:br/>
        <w:t>Deliverables per experiment: per-epoch logs, JSON seed/parameter records, final model checkpoints, reproducible scripts and container image. Provide aggregated tables and plots for Dice, HD95, SDF L1, ECE over label fractions and ablations.</w:t>
      </w:r>
    </w:p>
    <w:p>
      <w:r>
        <w:t xml:space="preserve"> </w:t>
      </w:r>
    </w:p>
    <w:p>
      <w:pPr>
        <w:pStyle w:val="Heading2"/>
      </w:pPr>
      <w:r>
        <w:t>Risk Factors And Limitations</w:t>
      </w:r>
    </w:p>
    <w:p>
      <w:r>
        <w:t>Technical failure modes: pseudo-label confirmation bias can amplify annotation errors and false positives if trust thresholds are mis-set; Fourier augmentation may destabilize training if phase perturbations cause unrealistic displacements or if Hermitian/DC constraints are not correctly enforced; gating collapse where gate outputs saturate to 0 or 1, losing multi-scale benefit.</w:t>
        <w:br/>
        <w:br/>
        <w:t>Data and evaluation biases: limited diversity in training sources can cause poor cross-site generalization; inter-rater annotation variability may limit achievable Dice and confound SDF targets; small labeled fractions may produce large variance requiring many seeds.</w:t>
        <w:br/>
        <w:br/>
        <w:t>Scalability and compute constraints: 3D FFTs add runtime and memory overhead (1–2 GB additional GPU memory for patch-based FFTs). Full-volume training may be infeasible on single 16GB GPUs without patching or gradient accumulation. Light variants reduce fidelity.</w:t>
        <w:br/>
        <w:br/>
        <w:t>Limits to generalization: learned gating and SDF weightings may be anatomy-specific; hyperparameter defaults (alpha=0.9, d_max=20mm, SSIM≥0.80) may not transfer without pilot tuning. Fourier perturbations risk producing non-physical anatomy if Nyquist/anisotropy constraints are ignored.</w:t>
        <w:br/>
        <w:br/>
        <w:t>Evaluation and statistical limits: pre-registered power assumes variance estimates from pilots; if variance is larger, detectable effect sizes increase and may require more seeds or folds. Clinical thresholds for acceptable failure must be defined per use-case.</w:t>
        <w:br/>
        <w:br/>
        <w:t>Operational constraints: label-warp backpropagation is non-differentiable if nearest-mask warps are used; this forces decoupling augmentation from gradient flow or use of surrogate differentiable warping which increases implementation complexity.</w:t>
        <w:br/>
        <w:br/>
        <w:t>Ethical and clinical limits: automated uncertainty flags and low-confidence regions require clinician adjudication; incorrect flagging or overconfidence may affect clinical trust. Data governance and inter-institutional consent may limit dataset sharing and external validation.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