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cmrxmotion_motion_robust_segmentation</w:t>
      </w:r>
    </w:p>
    <w:p>
      <w:r>
        <w:t xml:space="preserve"> </w:t>
      </w:r>
    </w:p>
    <w:p>
      <w:pPr>
        <w:pStyle w:val="Heading2"/>
      </w:pPr>
      <w:r>
        <w:t>Title</w:t>
      </w:r>
    </w:p>
    <w:p>
      <w:r>
        <w:t>Physics-informed augmentation and temporal deep learning for robust myocardial segmentation and image-quality assessment in respiratory-motion cardiac cine MRI</w:t>
      </w:r>
    </w:p>
    <w:p>
      <w:r>
        <w:t xml:space="preserve"> </w:t>
      </w:r>
    </w:p>
    <w:p>
      <w:pPr>
        <w:pStyle w:val="Heading2"/>
      </w:pPr>
      <w:r>
        <w:t>Short Hypothesis</w:t>
      </w:r>
    </w:p>
    <w:p>
      <w:r>
        <w:t>Combining physics-informed respiratory-motion augmentation, temporal motion-aware network modules, and calibrated per-pixel uncertainty will increase held-out-vendor mean volume-weighted Dice similarity coefficient (DSC) for myocardial segmentation by at least 0.03 compared with a standard intensity-only augmentation baseline on severe-motion cardiac cine MRI.</w:t>
      </w:r>
    </w:p>
    <w:p>
      <w:r>
        <w:t xml:space="preserve"> </w:t>
      </w:r>
    </w:p>
    <w:p>
      <w:pPr>
        <w:pStyle w:val="Heading2"/>
      </w:pPr>
      <w:r>
        <w:t>Related Work</w:t>
      </w:r>
    </w:p>
    <w:p>
      <w:r>
        <w:t>Deep learning has been used for myocardial segmentation, motion correction, and automated image-quality assessment in cardiac cine MRI. Prior methods include 2D and 3D U-Nets, temporal models using recurrent or attention modules, intensity-based data augmentations, and domain-adaptation approaches to reduce vendor/domain gaps. Limitations remain: many models do not explicitly model respiratory motion, augmentations typically modify intensities rather than realistic motion fields, temporal continuity and short-frame displacement estimation are underused, per-pixel uncertainty and calibration are rarely reported, and benchmark datasets lack controlled, labeled respiratory-motion variation and vendor holdouts. Consequently, cross-vendor generalization and clinical impact on volumetric endpoints under severe motion remain insufficiently evaluated.</w:t>
      </w:r>
    </w:p>
    <w:p>
      <w:r>
        <w:t xml:space="preserve"> </w:t>
      </w:r>
    </w:p>
    <w:p>
      <w:pPr>
        <w:pStyle w:val="Heading2"/>
      </w:pPr>
      <w:r>
        <w:t>Abstract</w:t>
      </w:r>
    </w:p>
    <w:p>
      <w:r>
        <w:t>Respiratory motion degrades cardiac cine MRI, reducing contour accuracy and clinical confidence. We propose a unified approach that combines a controlled-motion cardiac cine dataset, physics-informed motion augmentation, and temporal, motion-aware deep networks to improve robustness of myocardial segmentation and automated image-quality assessment under respiratory artifacts. The method augments training data with realistic, learnable displacement fields derived from respiratory traces and parameterized motion models, trains a hybrid 2D+time network with explicit short-frame motion blocks and respiratory-phase conditioning, and produces calibrated per-pixel probability maps for segmentation plus a motion-severity classifier. Main contributions are: (1) a reproducible motion-augmentation pipeline that preserves anatomy, (2) a temporal architecture that leverages short-frame displacement estimates, and (3) integrated uncertainty calibration and multi-task evaluation on vendor holdout folds. We expect improved segmentation DSC on held-out vendors, better preservation of EDV/ESV/EF accuracy under severe motion, and calibrated uncertainty maps that flag unreliable frames for review.</w:t>
      </w:r>
    </w:p>
    <w:p>
      <w:r>
        <w:t xml:space="preserve"> </w:t>
      </w:r>
    </w:p>
    <w:p>
      <w:pPr>
        <w:pStyle w:val="Heading2"/>
      </w:pPr>
      <w:r>
        <w:t>Methodology</w:t>
      </w:r>
    </w:p>
    <w:p>
      <w:r>
        <w:t>1. Data and labels: use the controlled-motion cine dataset of 300 subjects stratified by vendor, field strength, site, and motion severity. Labels: ED/ES LV endocardial and epicardial contours for all cases and full-cycle per-frame masks for a 25% subset. Provide respiratory amplitude and phase JSON sidecars. 2. Preprocessing: resample to consistent in-plane resolution, center images on heart, normalize intensity per volume, and synchronize frames with derived respiratory phase. 3. Physics-informed motion augmentation: create differentiable displacement fields that shift pixels along the superior-inferior axis and apply spatially varying blurring to mimic coil blur. Parameterize augmentations by amplitude (e.g., 0-30 mm), frequency, phase jitter, and spatial heterogeneity. Use bellows-derived profiles to sample realistic parameter ranges. Save augmentation metadata per sample. Explanation: a displacement field is a per-pixel vector that moves pixels to simulate motion. 4. Model architecture: base encoder-decoder with temporal modules. Implement a 2D+time U-Net backbone where skip connections include a short-frame motion block that predicts frame-to-frame displacement fields and warps features. Optionally replace temporal block with ConvLSTM (convolutional LSTM) or transformer blocks. Add learnable respiratory-phase embeddings that are concatenated to feature maps. Multi-task heads: segmentation head outputs per-pixel probabilities; IQA head outputs motion-severity class probabilities. 5. Losses: segmentation uses Dice loss plus boundary-aware loss (penalizes contour errors) and temporal-smoothness loss (penalizes large inconsistency across adjacent frames). IQA uses cross-entropy. Joint loss weights balanced by validation. 6. Uncertainty: produce calibrated probabilities using deep ensembles (train 3 models) or Monte Carlo dropout and compute ECE. 7. Training arms: A baseline with standard intensity augmentations; B physics-informed augmentation; C B plus test-time augmentation and domain-randomized TTA. 8. Outputs: per-pixel probability maps, optional thresholded masks, and IQA labels. Provide model checkpoints, seeds, and full training logs. 9. Implementation notes: explain ConvLSTM as a recurrent conv layer that models temporal context; explain calibration metrics like ECE as the difference between predicted confidence and actual accuracy across bins.</w:t>
      </w:r>
    </w:p>
    <w:p>
      <w:r>
        <w:t xml:space="preserve"> </w:t>
      </w:r>
    </w:p>
    <w:p>
      <w:pPr>
        <w:pStyle w:val="Heading2"/>
      </w:pPr>
      <w:r>
        <w:t>Experiments</w:t>
      </w:r>
    </w:p>
    <w:p>
      <w:r>
        <w:t>Datasets: primary training/validation on the controlled-motion CMRxMotion dataset (N=300) with stratified splits; held-out test folds using leave-one-vendor-out (three folds). External validation pilot: independent N≈120 from at least two external sites with unseen vendor(s) and mixed field strengths. Baselines: (1) 2D+time U-Net with intensity-only augmentation; (2) 3D U-Net; (3) transformer-based temporal model. Proposed variants: physics-augmented model, physics+TTA model. Evaluation metrics: mean volume-weighted DSC (primary for segmentation), EDV/ESV absolute error in mL, EF absolute error in percentage points, HD95, weighted Cohen's kappa and macro F1 for IQA, ECE (10 equal-width bins) for calibration, per-severity and per-vendor stratified metrics, and runtime (s/volume). Experimental setup: train with fixed seeds (primary seed 42), 200 epochs or early stopping on validation DSC, optimizer AdamW, batch size tuned to GPU memory, three independent runs per model for variance. Statistical analysis: stratified bootstrap with 2,000 resamples for CIs, Holm-Bonferroni correction across primary comparisons, DeLong tests for AUCs where applicable, and mixed-effects models with random intercepts for subject nested in site for variance decomposition. Ablation studies: (A) remove motion-block; (B) remove respiratory-phase conditioning; (C) replace physics augment with intensity augment; (D) single-model uncertainty (MC dropout) versus deep ensemble. Report per-fold LVO results and aggregate mean±SD across folds. Save and publish all seeds, splits, and logs.</w:t>
      </w:r>
    </w:p>
    <w:p>
      <w:r>
        <w:t xml:space="preserve"> </w:t>
      </w:r>
    </w:p>
    <w:p>
      <w:pPr>
        <w:pStyle w:val="Heading2"/>
      </w:pPr>
      <w:r>
        <w:t>Risk Factors And Limitations</w:t>
      </w:r>
    </w:p>
    <w:p>
      <w:r>
        <w:t>Model overfitting to synthetic motion patterns that do not match real severe-motion cases, causing poor real-world generalization. Mismatch between synthetic-augmentation distribution and held-out vendors or patient body habitus. Annotation noise and inter-rater variability limiting achievable DSC and inflating required sample size. Limited availability of raw physiologic traces under DUA may reduce realism of augmentation or conditioning. Compute and memory limits for temporal models and ensembles increasing training cost and reducing reproducibility for some groups. Calibration methods may fail under domain shift, producing overconfident incorrect maps. External-validation cohort size or diversity may be insufficient to detect some fairness or vendor-specific failure modes. Statistical power assumptions based on pilot SDs may be optimistic; worse variance will reduce ability to detect the prespecified DSC improvement.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