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disentangled_anatomy_pseudohealthy</w:t>
      </w:r>
    </w:p>
    <w:p>
      <w:r>
        <w:t xml:space="preserve"> </w:t>
      </w:r>
    </w:p>
    <w:p>
      <w:pPr>
        <w:pStyle w:val="Heading2"/>
      </w:pPr>
      <w:r>
        <w:t>Title</w:t>
      </w:r>
    </w:p>
    <w:p>
      <w:r>
        <w:t>Unsupervised brain MRI anomaly detection via disentangled anatomy representation and edge-to-image pseudo-healthy reconstruction</w:t>
      </w:r>
    </w:p>
    <w:p>
      <w:r>
        <w:t xml:space="preserve"> </w:t>
      </w:r>
    </w:p>
    <w:p>
      <w:pPr>
        <w:pStyle w:val="Heading2"/>
      </w:pPr>
      <w:r>
        <w:t>Short Hypothesis</w:t>
      </w:r>
    </w:p>
    <w:p>
      <w:r>
        <w:t>Learning a disentangled anatomical representation (zA) using a discrete one-hot codebook aligned to brain atlas priors and restoring pseudo-healthy images from edge-derived anatomy while conditioning on imaging style (zS) will increase scan-level AUROC and pixel-level Dice for unsupervised brain MRI anomaly detection compared to standard reconstruction baselines.</w:t>
      </w:r>
    </w:p>
    <w:p>
      <w:r>
        <w:t xml:space="preserve"> </w:t>
      </w:r>
    </w:p>
    <w:p>
      <w:pPr>
        <w:pStyle w:val="Heading2"/>
      </w:pPr>
      <w:r>
        <w:t>Related Work</w:t>
      </w:r>
    </w:p>
    <w:p>
      <w:r>
        <w:t>Unsupervised MRI anomaly detection commonly uses reconstruction models that learn normal appearance and flag deviations as anomalies. Approaches include autoencoders and variational autoencoders (AE/VAE) that reconstruct whole images, GAN-based methods that improve realism, VQ-VAE discrete latent models, and recent diffusion or transformer-based reconstruction models. Other lines use disentangled representations to separate anatomy and imaging factors, and pseudo-healthy synthesis to remove pathology. Prior methods suffer from several limitations: reconstruction models can erase or overly smooth pathology (pathology erasure), discrete latents can collapse or be dominated by scanner signals (codebook collapse and domain leakage), edge or high-frequency cues are often lost by preprocessing, and evaluation is frequently limited to pooled test sets or synthetic lesions rather than diverse real pathologies. Many works also lack uncertainty calibration and thorough multi-center robustness tests, and they do not quantify anatomical interpretability of discrete codes.</w:t>
      </w:r>
    </w:p>
    <w:p>
      <w:r>
        <w:t xml:space="preserve"> </w:t>
      </w:r>
    </w:p>
    <w:p>
      <w:pPr>
        <w:pStyle w:val="Heading2"/>
      </w:pPr>
      <w:r>
        <w:t>Abstract</w:t>
      </w:r>
    </w:p>
    <w:p>
      <w:r>
        <w:t>We present a method for unsupervised anomaly detection in brain MRI that separates anatomical structure from imaging appearance and reconstructs pseudo-healthy images from high-frequency edge cues. The method encodes anatomy into a discrete, atlas-aligned latent (zA) and imaging-specific factors into a style latent (zS). An edge-to-image restoration network reconstructs high-quality pseudo-healthy MRIs from multi-scale edge maps conditioned on zS, producing residual anomaly maps and uncertainty estimates. The main contribution is the integration of a discrete anatomy codebook constrained by anatomical priors with an edge-guided restoration that enforces gradient consistency to preserve structural detail while suppressing abnormal residuals. Expected outcomes are improved scan-level detection (AUROC) and more precise lesion localization (pixel Dice/AP), better small-lesion sensitivity, and multi-center robustness without supervised lesion labels. The method yields clinician-friendly outputs (pseudo-healthy, residual, uncertainty) suitable for triage workflows.</w:t>
      </w:r>
    </w:p>
    <w:p>
      <w:r>
        <w:t xml:space="preserve"> </w:t>
      </w:r>
    </w:p>
    <w:p>
      <w:pPr>
        <w:pStyle w:val="Heading2"/>
      </w:pPr>
      <w:r>
        <w:t>Methodology</w:t>
      </w:r>
    </w:p>
    <w:p>
      <w:r>
        <w:t>1) Data preprocessing (simple steps): convert DICOM to NIfTI, apply N4 bias correction (corrects slow intensity variation), rigid/affine registration to a common space, skull-stripping, and brain-mask intensity normalization. Compute multi-scale edge maps (Sobel 3×3 and 5×5 magnitude) from minimally processed, unsmoothed images; store these edge channels.</w:t>
        <w:br/>
        <w:br/>
        <w:t>2) Representation encoder: build a two-branch encoder that outputs zA (anatomy) and zS (style). zA is represented by a VQ-VAE discrete codebook (one-hot like codes). A VQ codebook assigns each spatial feature to a nearest code vector; this yields a pseudo-one-hot map. Use atlas priors as soft targets: encourage zA spatial maps to match probabilistic atlas labels via a Dice or cross-entropy loss (atlas-consistency). zS is a low-dimensional continuous vector carrying scanner and contrast information.</w:t>
        <w:br/>
        <w:br/>
        <w:t>3) Decoupling losses: include reconstruction loss Lrec (L1), structural SSIM loss Lssim, gradient-consistency loss Lgrad (match image gradients to input edges), an atlas-consistency Latlas, and a total-correlation penalty Ltc on zA to reduce factor redundancy. Optionally include a domain-adversarial head on zA or an MI penalty to reduce scanner leakage into zA. Report basic weight ranges but leave fine tuning to validation.</w:t>
        <w:br/>
        <w:br/>
        <w:t>4) Edge-to-image restoration: feed the stacked edge maps plus the zA spatial map into a multi-scale encoder-decoder generator. Condition the decoder on zS using adaptive normalization (SPADE/AdaIN) so the generator can recouple imaging appearance without changing anatomy. Use multi-scale skip connections to preserve resolution.</w:t>
        <w:br/>
        <w:br/>
        <w:t>5) Residual-suppression: add a loss term Lres that penalizes abnormal residual patterns in pseudo-healthy output. The loss can be guided by a lightweight anomaly cue (a detector trained on synthetic or labeled small subset) but this detector must be specified and evaluated separately to avoid bias.</w:t>
        <w:br/>
        <w:br/>
        <w:t>6) Adversarial realism: optionally add a PatchGAN discriminator with spectral normalization and gradient penalty for stable adversarial training.</w:t>
        <w:br/>
        <w:br/>
        <w:t>7) Training protocol: alternate healthy-only reconstruction and pseudo-healthy reconstruction on mixed batches. Use temperature or commitment schedules for the VQ codebook. Use MC-dropout at inference for uncertainty (30 samples) and apply temperature scaling for calibration.</w:t>
        <w:br/>
        <w:br/>
        <w:t>8) Outputs: at inference produce pseudo-healthy image, residual map (original - pseudo-healthy), and uncertainty map (predictive entropy). Provide side-by-side visualizations for clinician review.</w:t>
      </w:r>
    </w:p>
    <w:p>
      <w:r>
        <w:t xml:space="preserve"> </w:t>
      </w:r>
    </w:p>
    <w:p>
      <w:pPr>
        <w:pStyle w:val="Heading2"/>
      </w:pPr>
      <w:r>
        <w:t>Experiments</w:t>
      </w:r>
    </w:p>
    <w:p>
      <w:r>
        <w:t>Datasets and splits: Training: &gt;=300 healthy subjects pooled across 4–6 centers (aim for 50–100 per center). Validation: 100 mixed subjects (healthy + small anomaly set) from training centers. Internal test: 200 mixed subjects (~100 healthy / 100 lesion). External test: &gt;=100 subjects from held-out center(s) with &gt;=50 lesion scans per held-out center. Labeled masks for localization: 50–100 lesion-containing scans per pathology per held-out center (glioma, metastasis, MS, small vessel disease, post-op changes). Preprocessing order: dcm2niix, N4, registration, skull-strip, normalization, compute edges before smoothing.</w:t>
        <w:br/>
        <w:br/>
        <w:t>Baselines: AE/VAE reconstruction, VQ-VAE baseline, AnoGAN/f-AnoGAN, PatchGAN reconstruction with perceptual loss, diffusion-based reconstruction, deep ensemble anomaly scoring, and supervised U-Net segmentation as an upper bound.</w:t>
        <w:br/>
        <w:br/>
        <w:t>Metrics: Scan-level AUROC and AUPR with 95% BCa bootstrap CIs (n=1000). Pixel-level AP, Dice, IoU. Lesion-wise FROC (sensitivities at 0.1, 0.5, 1, 2 FP/scan) and PRO-score. Edge fidelity: gradient-correlation and edge-preservation ratio. Calibration: ECE, Brier score, reliability diagrams, AUSE. Statistical tests: DeLong for AUC pairwise comparisons, paired bootstrap n=1000 for other comparisons; correct multiple tests with Holm-Bonferroni.</w:t>
        <w:br/>
        <w:br/>
        <w:t>Ablation studies (each run with 5 random seeds; top-3 configs rerun with 10 seeds): 1) one-hot variant: VQ vs Gumbel-Softmax vs soft-argmax; 2) atlas-consistency Latlas on vs off; 3) edge-filter: Sobel3 vs Sobel5 vs differentiable Canny; 4) residual-suppression weight sweep (low/medium/high); 5) uncertainty: MC-dropout vs small ensemble. Record per-center performance and small-lesion sensitivity by volume bins: &lt;50, 50–200, 200–1000, &gt;1000 mm^3. Model selection: highest median validation scan-AUPR across seeds; tie-break by pixel AP. Random seeds: minimum 5 per condition; top configs 10 seeds. Compute estimate per full training run on 300 subjects: ~48–120 GPU-hours on A100.</w:t>
      </w:r>
    </w:p>
    <w:p>
      <w:r>
        <w:t xml:space="preserve"> </w:t>
      </w:r>
    </w:p>
    <w:p>
      <w:pPr>
        <w:pStyle w:val="Heading2"/>
      </w:pPr>
      <w:r>
        <w:t>Risk Factors And Limitations</w:t>
      </w:r>
    </w:p>
    <w:p>
      <w:r>
        <w:t>1) Pathology erasure: pseudo-healthy reconstruction may remove or attenuate real lesions, producing false negatives. 2) Residual-suppression circularity: using a detector to guide suppression can bias the restoration to erase lesions if the detector training data is not carefully separated. 3) Codebook collapse and domain leakage: VQ codebook entries may be underused or zA may carry scanner information, harming generalization. 4) MI estimator issues: mutual information estimators can have bias/variance trade-offs and unstable tuning. 5) Edge failures: low-contrast, diffuse, or infiltrative lesions and post-op changes may lack clear edges, reducing restoration fidelity. 6) Small-lesion sensitivity: detection performance degrades sharply for very small lesions (&lt;50 mm^3). 7) Evaluation bias: synthetic lesion tests do not fully capture real pathology heterogeneity; per-pathology validation is required. 8) Calibration limits: MC-dropout may be miscalibrated on held-out centers; ensembles cost more compute. 9) Scalability and compute: training and ablations require substantial GPU time and storage, limiting low-resource centers. 10) Generalization limits: rare pathologies, pediatric scans, and severe artifacts may not be covered by pooled training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