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lctfound_diffusion_multimodal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Diffusion-based multimodal lung CT foundation model with physics-consistent pretraining for multi-task imaging and clinical prediction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Pretraining a lung CT foundation model using diffusion-based self-supervision jointly conditioned on imaging and clinical metadata and regularized by a differentiable forward-model consistency loss will improve downstream lung lesion segmentation Dice, diagnostic AUC, and sparse-view reconstruction HU accuracy compared to pretraining without clinical conditioning or physics consistency.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for volumetric CT representation learning use supervised CNNs (for segmentation and detection), self-supervised methods (contrastive learning, masked-region reconstruction), and more recently generative pretraining using diffusion models. Reconstruction methods rely on analytic filtered back-projection (FBP) or iterative physics-based solvers; physics-aware deep methods add data-consistency terms but rarely integrate with large-scale generative pretraining. Multimodal learning (medical image + tabular clinical data) has been done via late fusion or contrastive objectives, but clinical tokens are often shallow and not jointly optimized with generative backbones. Privacy-preserving training applies DP to model weights or uses federated learning, but documented utility-privacy curves for clinical embeddings are limited. Limitations: (1) prior diffusion or generative pretraining on CT is limited in scale and vendor diversity; (2) physics-informed losses are underused in foundation pretraining, reducing HU fidelity for reconstruction tasks; (3) multimodal conditioning is often ad-hoc and not evaluated across large multi-center corpora; (4) privacy mechanisms lack systematic downstream utility evaluation; (5) generative evaluation and standardized metrics for clinical fidelity and sinogram-domain realism are inconsistent.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lung CT foundation model pretrained with diffusion-based self-supervision that jointly encodes volumetric CT and clinical metadata and enforces physics consistency via a differentiable forward projection loss. The model uses a U-Net backbone augmented with transformer blocks to produce multi-scale visual tokens and a small clinical encoder to produce learnable clinical tokens; these tokens condition denoising through FiLM and cross-attention. Physics consistency is enforced by projecting reconstructed volumes to sinogram space and comparing to measured or vendor-calibrated simulated sinograms. The pretrained model is adapted to diverse downstream tasks: lesion segmentation, sparse-view reconstruction, virtual CTA, diagnosis, and prognosis. Main contributions are (1) a large-scale multimodal diffusion pretraining strategy that integrates clinical context, (2) a physics-consistency constraint during generative pretraining to improve HU fidelity and reconstruction tasks, and (3) a prespecified experimental suite for multi-center validation including privacy-utility evaluation of differential privacy on clinical embeddings. Expected outcome: a single pretrained model that yields measurable gains in segmentation, diagnostic discrimination, and reconstruction fidelity across vendor and dose strata while enabling privacy-aware synthetic releases.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curation and preprocessing: collect multi-center DICOM chest CT volumes; convert to Hounsfield Units (HU) and standardize voxel spacing. Produce three labeled tiers: core adjudicated (10k volumes), mid-tier single-reader (40k volumes), and large unlabeled corpus (~200k volumes). Sinogram collection: gather measured sinograms when provided; otherwise build vendor-parameterized sinogram simulators (geometry + Poisson + electronic noise).</w:t>
        <w:br/>
        <w:br/>
        <w:t>2) Clinical metadata encoding: standardize tabular fields (scanner, protocol, age, sex, smoking, comorbidities, labs, time-to-event). Map categorical fields to embeddings (32–128 dims). Continuous fields are robust-scaled. Clinical encoder: shallow residual MLP or small transformer that outputs 1–8 clinical tokens (256–512 dims). Differential privacy (DP-SGD) is applied to clinical encoder updates for privacy experiments.</w:t>
        <w:br/>
        <w:br/>
        <w:t>3) Diffusion backbone: U-Net with transformer blocks. The U-Net processes 3D volumes or 2.5D crops (8–16 slices). Transformer blocks add long-range context. Use a 1,000-step cosine noise schedule and L2 denoising objective (score-matching). Auxiliary losses: multimodal contrastive InfoNCE between pooled visual tokens and clinical tokens (temperature scalar) and masked-region reconstruction for lesion locality.</w:t>
        <w:br/>
        <w:br/>
        <w:t>4) Multimodal fusion and conditioning: early conditioning via FiLM (feature-wise linear modulation) in encoder blocks using clinical tokens; cross-attention layers at bottleneck for deeper alignment; late fusion adapters for task heads.</w:t>
        <w:br/>
        <w:br/>
        <w:t>5) Physics-consistency loss: implement a differentiable forward projection operator that maps reconstructed volumes to sinograms. Compute L2 loss between projected sinograms and measured/simulated sinograms. Weight this loss progressively (small initially, increase during fine stages).</w:t>
        <w:br/>
        <w:br/>
        <w:t>6) Training curriculum: mixed-resolution strategy. Stage A: low-resolution volumes (e.g., 1.5 mm isotropic) large-batch pretraining to learn global priors. Stage B: higher-resolution and 2.5D crops for fine structure. Optimizer: AdamW, lr=1e-4, linear warmup 10k steps then cosine decay. Use mixed precision and gradient checkpointing. Effective batch target ~64.</w:t>
        <w:br/>
        <w:br/>
        <w:t>7) Fine-tuning heads: attach task-specific heads and fine-tune for segmentation (U-Net decoder), reconstruction (refinement decoder), classification (pooled features + MLP), and survival (Cox or transformer survival head). Evaluate uncertainty with ensembles and evidential heads; calibrate with temperature scaling.</w:t>
        <w:br/>
        <w:br/>
        <w:t>Technical terms explained simply: U-Net is a neural network shaped like a U that captures both coarse and fine image features; transformers are modules that let the model learn relationships across distant parts of the volume; FiLM scales and shifts features using external tokens (here clinical information); sinogram is the measured projection data from CT that the scanner collects before reconstructing an image.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Pretraining corpus: lungCT-28M equivalent (~200k volumes). Labeled: core adjudicated 10k (train/val/test split 8k/1k/1k), mid-tier 40k for larger-scale fine-tuning. Held-out external test sets: LIDC-IDRI, MosMedData, NSCLC Radiogenomics (TCIA), plus 3 private external centers. Sinogram testbed: measured sinograms from at least one center per major vendor (Siemens, GE, Philips, Canon) and vendor-simulated sinograms.</w:t>
        <w:br/>
        <w:br/>
        <w:t>Baselines: 1) Supervised-only models trained on labeled data: nnU-Net and SwinUNETR for segmentation; supervised CNN classifiers for diagnosis. 2) Self-supervised baselines: contrastive pretraining (image-only) + fine-tune. 3) Diffusion pretraining without clinical conditioning. 4) Diffusion pretraining without physics-consistency loss. 5) Physics-only reconstruction pipelines: FBP and iterative reconstruction (e.g., TV-regularized) for sparse-view.</w:t>
        <w:br/>
        <w:br/>
        <w:t>Evaluation metrics: Segmentation: Dice coefficient, IoU, paired permutation test, bootstrapped 95% CI. Reconstruction: HU bias (mean error), NPS (noise power spectrum), CNR (contrast-to-noise ratio), SSIM, PSNR, projection-FID (FID computed in projection domain). Virtual CTA/vessel: vessel-level F1, lumen HU bias. Diagnosis: AUC with DeLong CI, balanced accuracy. Prognosis: C-index, time-dependent AUC, Brier score. Calibration: ECE. Synthetic privacy tests: membership-inference advantage, nearest-neighbor distance in feature space, MAE of lesion size.</w:t>
        <w:br/>
        <w:br/>
        <w:t>Experimental setup: Pretrain the diffusion model on full corpus for baseline (64×H100, ~43k GPU-hours estimate). Fine-tune segmentation on 10k core set. For each downstream task run 5 independent seeds. Statistical testing: segmentation paired permutation tests comparing models; AUC comparison via DeLong; report multiplicity control using Benjamini-Hochberg on task families.</w:t>
        <w:br/>
        <w:br/>
        <w:t>Ablation studies (explicit): A) with vs without clinical tokens (measures multimodal benefit). B) with vs without physics-consistency loss (measures HU and reconstruction gains). C) measured sinogram anchors vs fully simulated sinograms. D) DP-SGD on clinical embeddings at ε={2,4,6,8} (report downstream metric vs ε curves). E) mixed-resolution curriculum vs single-resolution pretraining. Record compute costs per experiment (GPU-hours) and report effect sizes with 95% CIs.</w:t>
        <w:br/>
        <w:br/>
        <w:t>Holdout protocols: leave-one-center-out evaluation (each center as external) and subgroup analyses by vendor, dose level, age group, and sex. Pre-register primary endpoints: segmentation ΔDice target 0.05, diagnosis ΔAUC target 0.03, prognosis ΔC-index target 0.03.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and labeling biases: multi-center labels may vary; STAPLE adjudication may not remove all systematic label errors. 2) Lack of measured sinograms for many centers: simulated sinograms may not capture true device physics, producing domain gaps. 3) Privacy trade-offs: DP applied to clinical embeddings can degrade downstream utility; acceptable ε thresholds are uncertain. 4) Computational cost and scalability: full-scale diffusion pretraining requires large GPU clusters and long wall-clock time; fallback schedules may underperform. 5) Failure modes in physics loss: incorrect forward-model parameters can harm rather than help HU fidelity. 6) Generalization limits: model may not generalize to rare scanner models, extreme dose regimes, or populations underrepresented in training. 7) Evaluation bias: held-out sets may still share latent similarities with training centers, inflating apparent performance. 8) Regulatory risk: intended-use claims limited to assistive support; clinical adoption depends on prospective trials beyond retrospective metrics. 9) Synthetic-data risks: generative artifacts may misrepresent small lesions or subtle attenuation changes, leading to downstream clinical errors. 10) Uncertainty quantification limits: ensemble methods increase compute and may still fail on out-of-distribution cases.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