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gbs_chromogen_spectro_poct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Quantitative point-of-care identification of Group B Streptococcus by measuring chromogenic media pigment with dual-wavelength absorption spectroscopy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Measuring chromogenic pigment produced by Group B Streptococcus on a standardized swab eluate using dual-wavelength absorption spectroscopy and converting the optical signal to a ratiometric electrical metric will predict CFU per swab and classify colonization at ≥1×10^4 CFU/swab with sensitivity ≥90% under clinical pre-analytic conditions.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rapid GBS detection approaches use chromogenic culture media, visual plate reads, colorimetric assays, or nucleic acid amplification tests (NAAT). Chromogenic media provide species-specific pigments but visual readout is subjective and slow; NAAT is fast and sensitive but costly and may not correlate with viable CFU. Spectroscopic optical readouts have been applied to improve objectivity, but prior work shows strong limitations: large inter-strain variability in pigment yield, signal confounding by biomass scattering (turbidity), interference from mixed flora and blood, challenges detecting low- or non-pigmented strains, and insufficient calibration/traceability across lots. Optical hardware from prior studies often lacks ambient-light rejection and per-cartridge normalization, limiting point-of-care robustness. Calibration stability and clinical thresholds tied to neonatal risk have not been consistently established.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Screening pregnant women for Group B Streptococcus (GBS) colonization requires rapid, affordable, and quantitative tests to guide intrapartum antibiotic prophylaxis. We propose a point-of-care test that measures pigment produced by GBS on chromogenic culture media using dual-wavelength absorption spectroscopy, converts the light signal into a ratiometric electrical metric, and maps that metric to colony-forming units per swab (CFU/swab) via calibrated models. The main contributions are: (1) a standardized pre-analytic swab and elution SOP, (2) an optics+electronics design that uses dual-wavelength ratiometry and synchronous detection for ambient-light rejection, (3) a three-tier calibration scheme (purified pigment, biological calibrators, per-cartridge optical reference), and (4) statistical models that propagate pre-analytic variability into CFU prediction intervals and decision thresholds. Expected outcomes are objective, quantitative GBS results reported in CFU/swab with defined uncertainty and a clinically actionable cutoff for colonization that supports prenatal and intrapartum workflows.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Pre-analytic standardization: collect vaginal/rectovaginal swabs using nylon flocked swabs; elute into 1.0 mL buffer (PBS + surfactant + protein stabilizer). "Elute" means transfer microbes from the swab into liquid by vortex and incubation. Record elution volume and operator ID.</w:t>
        <w:br/>
        <w:br/>
        <w:t>2) Chromogenic growth and pigment extraction: inoculate defined volume of eluate into a liquid chromogenic formulation and, in parallel, on solid chromogenic agar. Incubate at 35–37°C and sample at set timepoints (0,1,2,4,6,8,12,24 h). For pigment analysis, extract pigment from liquid supernatant using methanol:water with acid; "extract" means dissolve pigment into solvent for measurement.</w:t>
        <w:br/>
        <w:br/>
        <w:t>3) Optical measurement: perform full spectra scans 350–700 nm using a bench spectrophotometer to find pigment peak(s). For POCT, implement dual-wavelength LEDs: one at pigment absorption peak (Ipigment) and one off-peak reference (Iref). Use time-multiplexed LED driving and synchronous (lock-in) detection to reject ambient light. Measure turbidity (OD600) concurrently to estimate biomass scattering.</w:t>
        <w:br/>
        <w:br/>
        <w:t>4) Electronics and signal processing: convert photodiode current to voltage with a programmable-gain transimpedance amplifier (TIA). Digitize with high-resolution ADC. Compute ratiometric absorbance = log10(Iref / Ipigment). If OD600 available, normalize absorbance by a turbidity correction function. Store raw signals and computed metrics with QC flags.</w:t>
        <w:br/>
        <w:br/>
        <w:t>5) Calibration: produce three calibration types: (A) purified pigment standard quantified by HPLC–UV/MS for wavelength and linearity checks; (B) frozen quantified biological calibrators (inactivated GBS suspensions) to map absorbance to CFU; (C) per-cartridge inert optical reference (dye bead) for run-level normalization. Create calibration tables across multiple lots.</w:t>
        <w:br/>
        <w:br/>
        <w:t>6) Statistical modelling: fit a nonlinear mixed-effects model with response = ratiometric absorbance and predictor = log10(CFU/swab), including random intercepts/slopes for strain and fixed effects for matrix. Use the model to provide point estimates and 95% prediction intervals for CFU/swab.</w:t>
        <w:br/>
        <w:br/>
        <w:t>7) Decision rules: define numeric reporting units as CFU/swab. Predefine three zones: Negative (&lt;LOQ), Uncertain (LOQ–cutpoint), Positive (≥cutpoint, e.g., 1×10^4 CFU/swab). Uncertain triggers predefined reflex (extended incubation/enrichment or NAAT) depending on prenatal vs intrapartum use. "LOQ" is the lowest CFU with acceptable CV.</w:t>
        <w:br/>
        <w:br/>
        <w:t>8) Documentation: produce SOPs for swab elution, instrument calibration, per-run QC checks, and data logging.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1) Analytical pigment characterization (bench): dataset: ≥60 diverse GBS isolates covering major capsular types and known low/non-pigmented phenotypes. For each strain: inocula series 10^1–10^6 CFU/mL; timepoints 0,1,2,3,4,6,8,12,24 h; triplicate runs. Measurements: viable CFU plating, OD600, full 350–700 nm spectra, HPLC–UV/MS spectra of extracts. Baseline: blank media. Metrics: pigment peak λ, absorbance vs CFU curves, inter-strain CV, RMSE of log10 CFU prediction.</w:t>
        <w:br/>
        <w:br/>
        <w:t>2) Optics/electronics bench tests: use optical phantoms and purified pigment dilutions to measure photocurrent ranges, SNR, linearity, lock-in ambient-light rejection, and temperature dependence. Baselines: single-wavelength measurement, non-synchronous detection. Metrics: limit of detection (LOD) defined as signal &gt;95% CI above blank, limit of quantification (LOQ) defined by CV ≤15%, linearity (R^2), and inter-unit CV.</w:t>
        <w:br/>
        <w:br/>
        <w:t>3) Pre-analytic operator study: matrices: synthetic vaginal fluid, blood-spiked matrix, and clear buffer. Operators: 3 operators × 10 replicates × 3 matrices per swab type (nylon flocked, rayon, foam). Measure recovery (%) and CV. Baseline: current practice extraction. Metrics: mean recovery, inter-operator CV, acceptance target ≥70% recovery and CV ≤20%.</w:t>
        <w:br/>
        <w:br/>
        <w:t>4) Interference panel: organisms and interferents: Lactobacillus spp., Gardnerella vaginalis, Enterococcus faecalis, E. coli, Staphylococcus spp., S. pyogenes, Corynebacterium spp., common anaerobes, Candida spp., blood, mucus, povidone-iodine, chlorhexidine, common intrapartum antibiotics. Test alone and spiked with GBS at clinical threshold (1×10^4 CFU/swab). Metrics: false-positive rate at cutoff, percent signal suppression for spiked GBS (accept ≤20%).</w:t>
        <w:br/>
        <w:br/>
        <w:t>5) Clinical validation: prospective multi-center study, N≈600 pregnant participants. For each participant: collect swab for POCT, enrichment culture (gold standard), and NAAT. Blinded testing. Metrics: sensitivity, specificity, PPV, NPV for colonization at pre-specified cutpoints (e.g., 1×10^4 CFU/swab); ROC AUC; Bland-Altman and RMSE for quantitative CFU prediction; time-to-result distribution. Baselines: enrichment culture and NAAT; comparator: visual chromogenic plate read. Discrepant analysis: repeat culture and sequencing.</w:t>
        <w:br/>
        <w:br/>
        <w:t>6) Ablation studies: (a) with vs without turbidity normalization, (b) dual-wavelength vs single-wavelength, (c) calibration with purified pigment only vs biological calibrators, (d) effect of including vs excluding low-pigmented strains in pooled model. Metrics: change in RMSE, sensitivity/specificity at cutpoint, LOD/LOQ shifts.</w:t>
        <w:br/>
        <w:br/>
        <w:t>7) Statistical methods: use nonlinear mixed-effects modelling, bootstrap for CIs, ROC and decision-curve analysis to assess clinical impact. Pre-register statistical analysis plan.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Inter-strain pigment variability: some GBS strains produce little or no pigment, increasing prediction error and raising LOQ above targets.</w:t>
        <w:br/>
        <w:t>2) Pre-analytic variability: swab recovery and elution volume differences between operators/sites will propagate into CFU uncertainty.</w:t>
        <w:br/>
        <w:t>3) Mixed flora and interferents: other organisms or blood/mucus may produce pigment-like signals or suppress GBS pigment, causing false positives or false negatives.</w:t>
        <w:br/>
        <w:t>4) Ambient and environmental effects: temperature, ambient light, and cartridge seating variability can alter optical measurements.</w:t>
        <w:br/>
        <w:t>5) Calibration stability and supply chain: purified pigment and biological calibrators may degrade (freeze-thaw, aging), affecting traceability across lots.</w:t>
        <w:br/>
        <w:t>6) Time-to-result tradeoffs: achieving intrapartum ≤60 min for low-signal samples may require NAAT, increasing cost and operational complexity.</w:t>
        <w:br/>
        <w:t>7) LOD/LOQ realism: targets (LOD ≤1×10^2, LOQ ≤1×10^3 CFU/swab) may not be achievable given pigment variance and turbidity effects.</w:t>
        <w:br/>
        <w:t>8) Clinical generalization: model trained on a defined regional strain set may not generalize globally if pigment phenotype frequencies differ.</w:t>
        <w:br/>
        <w:t>9) Regulatory uncertainty: quantitative CFU claims may require de novo regulatory pathway, lengthening approval timelines.</w:t>
        <w:br/>
        <w:t>10) No mitigation strategies provided here as requested.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