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sn_pb_trace_provenance_sa</w:t>
      </w:r>
    </w:p>
    <w:p>
      <w:r>
        <w:t xml:space="preserve"> </w:t>
      </w:r>
    </w:p>
    <w:p>
      <w:pPr>
        <w:pStyle w:val="Heading2"/>
      </w:pPr>
      <w:r>
        <w:t>Title</w:t>
      </w:r>
    </w:p>
    <w:p>
      <w:r>
        <w:t>Integrating lead and tin isotope analyses with trace-element chemistry to identify geographic sources of tin in southern African bronzes (ca. 1200–1800 CE)</w:t>
      </w:r>
    </w:p>
    <w:p>
      <w:r>
        <w:t xml:space="preserve"> </w:t>
      </w:r>
    </w:p>
    <w:p>
      <w:pPr>
        <w:pStyle w:val="Heading2"/>
      </w:pPr>
      <w:r>
        <w:t>Short Hypothesis</w:t>
      </w:r>
    </w:p>
    <w:p>
      <w:r>
        <w:t>If a bronze artifact's tin derives predominantly from a single geographic ore source, then the combined tin isotope ratios, lead isotope ratios, and selected trace-element concentrations of its interior metal will be statistically consistent with that source's endmember distribution such that a hierarchical Bayesian mixing model assigns ≥0.95 posterior probability to that source.</w:t>
      </w:r>
    </w:p>
    <w:p>
      <w:r>
        <w:t xml:space="preserve"> </w:t>
      </w:r>
    </w:p>
    <w:p>
      <w:pPr>
        <w:pStyle w:val="Heading2"/>
      </w:pPr>
      <w:r>
        <w:t>Related Work</w:t>
      </w:r>
    </w:p>
    <w:p>
      <w:r>
        <w:t>Prior approaches have used single isotope systems (mainly Pb or Sn) or trace-element fingerprinting to infer metal provenance. Pb isotope studies benefit from well-established baselines but are limited when cassiterite (tin ore) contains very low Pb. Sn isotope studies are recent and offer direct tin sourcing potential but face limited inter-lab standardization, variable analytical precision, and under-sampled regional baselines. Trace-element fingerprinting (elements like Bi, Sb, W, Mo) helps distinguish ore geochemistry but is confounded by alloying, recycling, and surface alteration. Existing work rarely combines Sn and Pb isotopes with trace elements in a single probabilistic framework, rarely propagates interference and blank uncertainties through source assignments, and lacks pre-registered decision rules and published identifiability/power analyses for realistic recycling and measurement-error scenarios.</w:t>
      </w:r>
    </w:p>
    <w:p>
      <w:r>
        <w:t xml:space="preserve"> </w:t>
      </w:r>
    </w:p>
    <w:p>
      <w:pPr>
        <w:pStyle w:val="Heading2"/>
      </w:pPr>
      <w:r>
        <w:t>Abstract</w:t>
      </w:r>
    </w:p>
    <w:p>
      <w:r>
        <w:t>We address the problem of identifying geographic tin sources used in southern African bronze artifacts dating ca. 1200–1800 CE by integrating tin (Sn) isotopes, lead (Pb) isotopes, and trace-element chemistry into a single probabilistic provenance framework. The approach combines high-precision Sn double-spike isotope measurements, Pb isotope ratios, and trace-element profiles with standardized QA/QC, targeted endmember sampling of regional ores and anthropogenic residues, and controlled re-melting experiments to bound metallurgical fractionation. A hierarchical Bayesian mixing model treats endmember compositions as uncertain and explicitly models recycling/process offsets and inter-lab biases. Main contributions are (1) a reproducible pipeline that jointly uses Sn-Pb-trace data for artifact-level source attribution, (2) pre-registered decision thresholds and identifiability/power simulations, and (3) an inter-laboratory round-robin and in-house reference strategy for Sn isotope comparability. Expected outcomes are quantitatively defensible source attributions for 153 artifacts, validated priors for metallurgical offsets, and a transferable methodology for multi-proxy provenance studies.</w:t>
      </w:r>
    </w:p>
    <w:p>
      <w:r>
        <w:t xml:space="preserve"> </w:t>
      </w:r>
    </w:p>
    <w:p>
      <w:pPr>
        <w:pStyle w:val="Heading2"/>
      </w:pPr>
      <w:r>
        <w:t>Methodology</w:t>
      </w:r>
    </w:p>
    <w:p>
      <w:r>
        <w:t>1) Sampling and documentation: Select a pilot set (~20) stratified by date, context, and typology, then expand to 153 artifacts. For each artifact, micro-drill interior metal (target 50–200 mg powder) from inconspicuous locations and record photos, drill coordinates, mass removed, and conservation history. 2) Analytical workflows: a) Sn isotopes by double-spike MC-ICP-MS (double-spike: a known mixture of two isotopes added to correct mass fractionation; MC-ICP-MS: multicollector inductively coupled plasma mass spectrometry, an instrument for high-precision isotope ratios). b) Pb isotopes by established MC-ICP-MS protocols with 204Hg and Tl corrections (204Hg: mercury isobaric interference on 204Pb; isobaric: same nominal mass). c) Trace elements by LA-ICP-MS (laser ablation; element concentrations for Bi, W, Sb, Mo, Ta, Ag, Pb) and complementary SEM-EDS/EPMA imaging to detect inclusions or corrosion. 3) QA/QC: procedural blanks, chemical yields, CRMs (NIST SRM-981 for Pb; in-house and synthetic Sn standards), replicate runs, and an inter-lab round-robin on 10–15% of samples. 4) Re-melting experiments: small-scale re-melts across T = 900–1150 °C, quantified oxygen fugacity (fO2) steps, controlled durations and Cu:Sn ratios to empirically bound isotopic offsets. (fO2: a measure of oxygen availability during melting). 5) Modelling: build a hierarchical Bayesian mixing model where endmember means and covariances are latent variables, recycling/processing offsets are latent terms with priors informed by experiments, interference and blank uncertainties are propagated into the likelihood, and lab effects are modelled as random effects. 6) Decision rules: pre-register attribution thresholds (single-source ≥0.95, dominant ≥0.50) and flagging rules for samples failing QA/QC.</w:t>
      </w:r>
    </w:p>
    <w:p>
      <w:r>
        <w:t xml:space="preserve"> </w:t>
      </w:r>
    </w:p>
    <w:p>
      <w:pPr>
        <w:pStyle w:val="Heading2"/>
      </w:pPr>
      <w:r>
        <w:t>Experiments</w:t>
      </w:r>
    </w:p>
    <w:p>
      <w:r>
        <w:t>Datasets: Pilot artifacts N=20; full artifact set N=153; endmember baseline samples: Rooiberg/Limpopo min 12 target 20, Manica/Zambezia min 12 target 20, Zimbabwean alluvials min 15 target 25, Limpopo tributaries min 12 target 20, external candidate provinces min 6 target 10 each. Re-melting matrix: temperatures = {900, 1000, 1100, 1150} °C; fO2 levels = log10 fO2 steps equivalent to IW-2, IW, IW+2 (IW: iron-wüstite buffer; a standard way to quantify oxygen fugacity), durations = {30, 60, 120} minutes, charge mass = 10–50 g per run, crucible = alumina or graphite (recorded), flux = none or 1–2% charcoal/borax where historically plausible; replicates = 4 per condition. Analytical protocols: Sn double-spike MC-ICP-MS precision target ≤0.2 ε (ε = parts per 10,000 deviation unit), Pb isotope precision target 0.05–0.1‰, LA-ICP-MS trace-element RSD target ≤5% for key elements. Inter-lab round-robin: 15% of artifacts (N≈23) plus 20 endmember standards circulated to 2 external accredited labs; acceptance: inter-lab Sn agreement ≤0.2 ε and Pb within CRM tolerances. Baselines and comparisons: run three models—(A) isotopes-only (Sn+Pb), (B) trace-only, (C) combined Sn+Pb+trace. Evaluation metrics: posterior assignment accuracy on simulated test sets (confusion matrix, precision, recall), posterior probability calibration (Brier score), RMSE between true and estimated source proportions in simulated mixtures, coverage probability of 95% credible intervals, inter-lab agreement statistics, and isotopic precision metrics. Ablation studies: (i) remove re-melt priors to quantify their impact, (ii) remove trace elements to test added discriminative power, (iii) vary endmember sampling densities in simulations to report identifiability thresholds. Simulation/power study: generate synthetic mixtures under measurement error (Sn σ=0.2 ε, Pb σ=0.1‰), lab bias levels (±0.1 ε), and recycling offsets drawn from prior distributions; quantify fraction of cases where single-source attribution (≥0.95) is recovered.</w:t>
      </w:r>
    </w:p>
    <w:p>
      <w:r>
        <w:t xml:space="preserve"> </w:t>
      </w:r>
    </w:p>
    <w:p>
      <w:pPr>
        <w:pStyle w:val="Heading2"/>
      </w:pPr>
      <w:r>
        <w:t>Risk Factors And Limitations</w:t>
      </w:r>
    </w:p>
    <w:p>
      <w:r>
        <w:t>1) Low-Pb cassiterite: many tin ores have negligible Pb, limiting Pb isotope discrimination and forcing reliance on trace elements or accessory phases. 2) Inter-lab standardization: lack of widely accepted Sn CRMs may produce systematic lab biases that complicate comparisons. 3) Fractionation unpredictability: metallurgical processes and recycling may produce isotopic shifts larger than priors anticipate, reducing identifiability. 4) Sample mass limits: small or precious artifacts may not yield sufficient interior powder for precise Sn isotopes. 5) Conservation and contamination: historic conservation treatments or surface corrosion can alter trace-element and isotope signals; interior sampling may still be affected. 6) Missing endmembers: uncollected or unknown ore sources can cause model misspecification and false attributions. 7) Permitting and access: delays or denials for museum or field sampling can reduce baseline coverage. 8) Computational complexity: joint hierarchical models with many endmembers and propagated uncertainties require substantial compute and careful convergence diagnostics; multimodal posteriors may complicate summarization. 9) Regional generalization: results may not generalize beyond sampled provinces or time intervals and cannot alone prove specific trade routes without independent archaeological evidence.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