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composite_bow_eurasia_reassess</w:t>
      </w:r>
    </w:p>
    <w:p>
      <w:r>
        <w:t xml:space="preserve"> </w:t>
      </w:r>
    </w:p>
    <w:p>
      <w:pPr>
        <w:pStyle w:val="Heading2"/>
      </w:pPr>
      <w:r>
        <w:t>Title</w:t>
      </w:r>
    </w:p>
    <w:p>
      <w:r>
        <w:t>Integrating iconographic, archaeometric, genetic, and Bayesian cultural-phylogenetic methods to reassess the origins and diffusion of the full horn-wood-sinew composite bow in ancient Eurasia</w:t>
      </w:r>
    </w:p>
    <w:p>
      <w:r>
        <w:t xml:space="preserve"> </w:t>
      </w:r>
    </w:p>
    <w:p>
      <w:pPr>
        <w:pStyle w:val="Heading2"/>
      </w:pPr>
      <w:r>
        <w:t>Short Hypothesis</w:t>
      </w:r>
    </w:p>
    <w:p>
      <w:r>
        <w:t>If the full horn-wood-sinew composite bow spread primarily via human migration, then archaeological sites with independently authenticated composite-bow material and iconographic signals will show systematically higher proportions of the putative source ancestry than contemporary nearby sites lacking such signals.</w:t>
      </w:r>
    </w:p>
    <w:p>
      <w:r>
        <w:t xml:space="preserve"> </w:t>
      </w:r>
    </w:p>
    <w:p>
      <w:pPr>
        <w:pStyle w:val="Heading2"/>
      </w:pPr>
      <w:r>
        <w:t>Related Work</w:t>
      </w:r>
    </w:p>
    <w:p>
      <w:r>
        <w:t>Prior work uses three main streams: iconographic analysis of depictions, isolated archaeometric reports of laminated bows or residues, and ancient DNA studies of population movement. Some studies apply Bayesian calibrated dating or cultural-phylogenetic methods to technological traits. Limitations include inconsistent definitions of what counts as a full composite bow, sparse and non-replicated biomolecular authentication, small and convenience-biased sample sizes for aDNA and proteomics, weak propagation of observation uncertainty into phylogenetic models, limited use of negative controls or taphonomic detection models, and loose integration with philological evidence. Existing diffusion claims therefore risk overinterpretation because they often rely on single signal types, lack cross-lab replication, and do not compare formal migration versus horizontal-transmission models.</w:t>
      </w:r>
    </w:p>
    <w:p>
      <w:r>
        <w:t xml:space="preserve"> </w:t>
      </w:r>
    </w:p>
    <w:p>
      <w:pPr>
        <w:pStyle w:val="Heading2"/>
      </w:pPr>
      <w:r>
        <w:t>Abstract</w:t>
      </w:r>
    </w:p>
    <w:p>
      <w:r>
        <w:t>This study reassesses claims about the origin and spread of the full horn-wood-sinew composite bow across Bronze Age Eurasia by combining iconography, archaeometric biomolecular data, ancient DNA, experimental replication, and Bayesian cultural-phylogenetic and spatio-temporal models. We implement a probabilistic two-signal rule that requires at least two independent lines of evidence — one morphological/iconographic and one material or two material signals — with pre-registered diagnostic thresholds. We run pilot ROC calibration experiments, aDNA sampling (pilot 80–120 individuals), proteomic and adhesive assays on 50–80 pre-screened artefacts, and experimental bow replicates to generate reference wear and residue signatures. Bayesian models will compare migration-driven diffusion, horizontal transmission, and independent invention using model comparison metrics. The main contribution is a reproducible, uncertainty-aware pipeline that tests whether population movement, contact networks, or convergence best explain the archaeological pattern. Expected outcomes include calibrated diagnostic criteria, probabilistic trait maps, and formal statistical evidence distinguishing candidate transmission mechanisms.</w:t>
      </w:r>
    </w:p>
    <w:p>
      <w:r>
        <w:t xml:space="preserve"> </w:t>
      </w:r>
    </w:p>
    <w:p>
      <w:pPr>
        <w:pStyle w:val="Heading2"/>
      </w:pPr>
      <w:r>
        <w:t>Methodology</w:t>
      </w:r>
    </w:p>
    <w:p>
      <w:r>
        <w:t>1) Define probabilistic two-signal rule and scoring rubric: convert iconographic inter-rater agreement and biomolecular detection probabilities into site-level likelihoods (numbers between 0 and 1). 2) Imaging and non-destructive screening: use micro-CT (voxel size target &lt;=30 µm) and RTI/photogrammetry to detect lamination; record lamination fraction (percent of limb cross-section with visible interface). 3) Biomolecular assays: run ZooMS/LC-MS/MS for keratin/collagen peptides and GC-MS/LC-MS for adhesive markers; require replicated detections and antique-consistent damage (e.g., deamidation). ZooMS is a protein mass fingerprinting method; LC-MS/MS sequences peptides. 4) Experimental calibration: build controlled replica bows varying wood, horn thickness, and sinew backing; age them under two regimes and record wear/residue signatures. 5) Ancient DNA: pilot sample 80–120 well-provenanced individuals (petrous/tooth preferred); run PCA, admixture modeling (qpAdm), dating of admixture (DATES), and estimate ancestry fractions. 6) Radiocarbon tip-dating: calibrate with IntCal20 and use full posterior date samples as tip priors. 7) Modeling: implement Bayesian phylogenetic (Mk/Mk+measurement-error) and hierarchical spatio-temporal GLMMs linking trait probability to ancestry, distance, and contact networks; compare models with Bayes factors and cross-validation. 8) Reproducibility: preregister thresholds and priors, use containerized pipelines, deposit code and data with DOIs, and require cross-lab replication for high-confidence claims. 9) Philology: compile target corpora and map lexical distributions as auxiliary trait layers for joint interpretation. 10) Reporting: publish calibrated ROC curves, model diagnostics, and trait likelihood matrices.</w:t>
      </w:r>
    </w:p>
    <w:p>
      <w:r>
        <w:t xml:space="preserve"> </w:t>
      </w:r>
    </w:p>
    <w:p>
      <w:pPr>
        <w:pStyle w:val="Heading2"/>
      </w:pPr>
      <w:r>
        <w:t>Experiments</w:t>
      </w:r>
    </w:p>
    <w:p>
      <w:r>
        <w:t>Datasets: 1) Archaeological artefacts: 50–80 pre-screened bow-related objects from Sintashta–Andronovo, Yamnaya-steppe, Central Asia, Xinjiang, and Near East with secure contexts. 2) Iconography corpus: 300 coded images across media with inter-rater scores. 3) aDNA: pilot 80–120 individuals stratified by region and 2200–1000 BCE. 4) Experimental replicas: 3x3x3 matrix with &gt;=5 replicates per cell. Baselines: A) iconography-only inference; B) material-only inference; C) null model using negative-control traits (e.g., ceramic paste recipe). Metrics: Bayes factors for model comparison; logistic regression odds ratios and 95% credible intervals for ancestry–trait association; ROC AUC for biomolecular detection thresholds; LOO-CV and WAIC for predictive performance; ESS and R̂ for MCMC diagnostics; posterior predictive checks. Setup: 1) Run ROC experiments on replica and degraded controls to choose micro-CT and peptide cutoffs; report AUC and choose threshold maximizing balanced accuracy. 2) Apply proteomics and adhesive assays with extraction blanks and replicate runs; produce per-sample Beta priors. 3) Analyze aDNA: PCA, f-statistics, qpAdm for ancestry; then fit hierarchical Bayesian GLMM (Stan) with ancestry fraction, time, and spatial GP term predicting trait likelihoods. 4) Run phylogenetic discrete-trait Mk model (RevBayes/BEAST2) with measurement-error priors from step 2; compare to GLMM using Bayes factors and LOO-CV. 5) Ablation study: repeat model comparisons removing iconographic data and then removing biomolecular data to quantify each data type's contribution. 6) Sensitivity: pre-registered prior sensitivity runs and power analyses assessing detectable odds ratios given sample sizes.</w:t>
      </w:r>
    </w:p>
    <w:p>
      <w:r>
        <w:t xml:space="preserve"> </w:t>
      </w:r>
    </w:p>
    <w:p>
      <w:pPr>
        <w:pStyle w:val="Heading2"/>
      </w:pPr>
      <w:r>
        <w:t>Risk Factors And Limitations</w:t>
      </w:r>
    </w:p>
    <w:p>
      <w:r>
        <w:t>1) Preservation bias: proteins, adhesives, and lamination traces may not survive uniformly, producing false negatives. 2) Contamination: modern protein or resin contamination can yield false positives; strict blanks and cross-lab replication needed but may still fail. 3) Permitting and sampling limits: cross-jurisdictional permissions may reduce sample sizes below calculated power. 4) Low statistical power: ancestry–trait associations may be weak or confounded by unmeasured covariates, limiting detectability. 5) Temporal resolution: radiocarbon and aDNA temporal uncertainty can blur the order of trait appearance and migration. 6) Model misspecification: cultural trait models may not capture reticulate transmission or multi-cause scenarios fully. 7) Philological ambiguity: lexical evidence is interpretive and may not map cleanly to material traits. 8) Generalization limits: results will be region- and preservation-dependent and may not apply to poorly-sampled areas. 9) Resource constraints: high-cost assays and computing needs may limit replication and cross-lab 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