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english_policy_misrecognition_bangladesh</w:t>
      </w:r>
    </w:p>
    <w:p>
      <w:r>
        <w:t xml:space="preserve"> </w:t>
      </w:r>
    </w:p>
    <w:p>
      <w:pPr>
        <w:pStyle w:val="Heading2"/>
      </w:pPr>
      <w:r>
        <w:t>Title</w:t>
      </w:r>
    </w:p>
    <w:p>
      <w:r>
        <w:t>A mixed-methods case study using interviews, focus groups, observations, and a vignette experiment to test how development-framed English-in-education policy shapes attributions and recognition among low-SES students and parents</w:t>
      </w:r>
    </w:p>
    <w:p>
      <w:r>
        <w:t xml:space="preserve"> </w:t>
      </w:r>
    </w:p>
    <w:p>
      <w:pPr>
        <w:pStyle w:val="Heading2"/>
      </w:pPr>
      <w:r>
        <w:t>Short Hypothesis</w:t>
      </w:r>
    </w:p>
    <w:p>
      <w:r>
        <w:t>Exposure to development-framed English-in-education policy causes parents and students to increase individual-blame attributions for academic failure and decrease recognition of structural or social constraints.</w:t>
      </w:r>
    </w:p>
    <w:p>
      <w:r>
        <w:t xml:space="preserve"> </w:t>
      </w:r>
    </w:p>
    <w:p>
      <w:pPr>
        <w:pStyle w:val="Heading2"/>
      </w:pPr>
      <w:r>
        <w:t>Related Work</w:t>
      </w:r>
    </w:p>
    <w:p>
      <w:r>
        <w:t>Existing research examines language-in-education policy as promoting linguistic human capital and links English to employability. Critical studies use governmentality theory to argue policy frames shape subjectivity and behavior. Other work documents misrecognition and symbolic violence where learners and families internalize deficit explanations. Methodologically, many studies focus on policy texts or large-scale surveys, while fewer capture in-depth, multilingual lived experience in low-SES sites. Gaps include limited mixed-method causal tests of how policy framing changes attributions, weak treatment of translanguaging in analysis, inconsistent translation protocols, and few studies combining vignette experiments with thematic qualitative analysis in single-school contexts. Current approaches therefore struggle to (1) establish causal effects of policy rhetoric on perceptions, (2) preserve multilingual nuance in coding, and (3) provide reproducible workflows linking coded extracts to policy critique.</w:t>
      </w:r>
    </w:p>
    <w:p>
      <w:r>
        <w:t xml:space="preserve"> </w:t>
      </w:r>
    </w:p>
    <w:p>
      <w:pPr>
        <w:pStyle w:val="Heading2"/>
      </w:pPr>
      <w:r>
        <w:t>Abstract</w:t>
      </w:r>
    </w:p>
    <w:p>
      <w:r>
        <w:t>This study tests whether framing English-in-education as a development tool shifts how low-socioeconomic-status (SES) students and parents explain educational outcomes. We combine a randomized vignette experiment with in-depth interviews, focus groups, classroom observations, and policy text analysis at one Bangladeshi school. The vignette experiment randomly exposes participants to a development-framed policy statement versus a neutral statement or a structural-framing alternative, and measures changes in individual-blame attributions, affect (shame, hope), and intended behavior (seeking tuition). Qualitative data are analyzed with a two-tier codebook informed by governmentality, Bourdieu’s capital concepts, and Ahmed’s affect, with bilingual transcription and back-translation for fidelity. Main contributions are: (1) a causal test of policy-framing effects on attributions in a low-SES educational context; (2) an integrated, reproducible mixed-method workflow that preserves multilingual nuance; and (3) a typology of misrecognition linking policy rhetoric to classroom and family practices. Expected impact: clearer evidence on how development rhetoric can individualize responsibility and recommendations for more equitable language policy framing.</w:t>
      </w:r>
    </w:p>
    <w:p>
      <w:r>
        <w:t xml:space="preserve"> </w:t>
      </w:r>
    </w:p>
    <w:p>
      <w:pPr>
        <w:pStyle w:val="Heading2"/>
      </w:pPr>
      <w:r>
        <w:t>Methodology</w:t>
      </w:r>
    </w:p>
    <w:p>
      <w:r>
        <w:t>Design: mixed-methods convergent design combining a randomized vignette experiment and qualitative fieldwork in one Bangladeshi school. Sampling: purposive sampling of principal (1), English teachers (6–8), parents (12–20 for interviews + 2–3 FGDs), students (16–24 across 4–6 FGDs or 8–12 interviews), and 12–20 short classroom observations. Vignette experiment: recruit parents and older students (target N=120 parents, N=120 students) from the same community; randomly assign to three arms: development-framed policy vignette, structural-framed vignette (emphasizes poverty/structural barriers), and neutral control. Measures: Likert scales for individual-blame attribution (how much outcomes are due to student/family vs structural factors), affect items (shame, hope, anxiety), and intended behaviors (e.g., pay for tuition). Qualitative protocols: semi-structured interviews and FGDs in Bangla with verbal consent/assent; classroom observation notes focused on language use and translanguaging. Transcription and translation: verbatim Bangla transcripts with code-switch tags; back-translate 20–30% and 50–100% for high-affect excerpts. Coding: two-tier codebook (deductive core codes: governmentality, misrecognition, symbolic violence, linguistic_human_capital, affect categories; inductive layer for emergent themes). Coding unit: speaker turn; use bilingual coder pairs and blind double-coding of 20% for intercoder reliability (Krippendorff's alpha). Analysis: statistical tests on vignette outcomes; thematic synthesis of qualitative codes; crosswalk matrices linking codes to policy texts. Technical terms explained: vignette experiment = a short, controlled story or policy excerpt given to participants to test reaction; back-translation = translating back to the original language to check accuracy; Krippendorff's alpha = a reliability score that shows how much coders agree.</w:t>
      </w:r>
    </w:p>
    <w:p>
      <w:r>
        <w:t xml:space="preserve"> </w:t>
      </w:r>
    </w:p>
    <w:p>
      <w:pPr>
        <w:pStyle w:val="Heading2"/>
      </w:pPr>
      <w:r>
        <w:t>Experiments</w:t>
      </w:r>
    </w:p>
    <w:p>
      <w:r>
        <w:t>Datasets: (1) Vignette survey responses from parents (N=120) and students (N=120); (2) Qualitative corpus: ~6–8 teacher interviews, ~12–20 parent interviews, 4–6 student FGDs or 8–12 interviews, 12–20 classroom observation records, and school policy documents. Baselines: control vignette (neutral wording) and structural-framing vignette. Evaluation metrics: primary: mean individual-blame attribution score (Likert 1–5); secondary: affect scores (shame, hope, anxiety), intended behavior measures, and qualitative theme prevalence. Statistical tests: two-sample t-tests (pairwise), ANOVA across three arms, and regression controlling for SES covariates; report effect sizes (Cohen's d) and 95% confidence intervals. Power: aim for n≥64 per arm to detect medium effect (d≈0.5) at 80% power; target N=120 per subgroup to allow covariate adjustment. Qualitative metrics: new-code rate (&lt;5% across three consecutive transcripts indicates saturation), Krippendorff's alpha ≥0.70 for core codes. Ablation study 1: compare coding results and thematic outputs when using bilingual coder pairs with back-translation versus single-language coding without back-translation to measure differences in code assignment (report change rates per code and alpha). Ablation study 2: compare vignette-only survey outcomes to vignette+qualitative follow-up outcomes to assess whether qualitative context changes interpretation of quantitative measures. Setup: random assignment for vignettes, anonymized ID linking survey to consented qualitative follow-up, blind coders for qualitative corpus, pre-registered analysis plan specifying primary outcome and subgroup analyses (parents vs students).</w:t>
      </w:r>
    </w:p>
    <w:p>
      <w:r>
        <w:t xml:space="preserve"> </w:t>
      </w:r>
    </w:p>
    <w:p>
      <w:pPr>
        <w:pStyle w:val="Heading2"/>
      </w:pPr>
      <w:r>
        <w:t>Risk Factors And Limitations</w:t>
      </w:r>
    </w:p>
    <w:p>
      <w:r>
        <w:t>Small-site generalizability: findings from one school may not generalize to other regions or SES groups. Sample size constraints: obtaining statistical power may be difficult if recruitment falls short. Social desirability bias: respondents may answer to please researchers or school authorities. Re-identification risk: single-site quotes risk exposing identities despite anonymization. Translation loss: nuance and affect may be lost in translation despite back-translation. Coder bias: theoretical stance may shape coding choices and interpretation. Experiment contamination: participants may discuss vignettes across arms, diluting randomization. Ethical risks: distress from discussing sensitive topics, especially among minors. Limited causal scope: vignette experiments test short-term attitudinal shifts, not long-term behavior or policy enactment. Resource limits: time and budget may restrict depth of back-translation and double-coding. Analytical limits: mixed-language segments complicate automated text analysis and require manual, labor-intensive coding.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