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artificial_creativity_triage</w:t>
      </w:r>
    </w:p>
    <w:p>
      <w:r>
        <w:t xml:space="preserve"> </w:t>
      </w:r>
    </w:p>
    <w:p>
      <w:pPr>
        <w:pStyle w:val="Heading2"/>
      </w:pPr>
      <w:r>
        <w:t>Title</w:t>
      </w:r>
    </w:p>
    <w:p>
      <w:r>
        <w:t>Operationalizing and testing perceived creativity of opaque AI artifacts using a multimodal coding protocol and preregistered behavioral experiments</w:t>
      </w:r>
    </w:p>
    <w:p>
      <w:r>
        <w:t xml:space="preserve"> </w:t>
      </w:r>
    </w:p>
    <w:p>
      <w:pPr>
        <w:pStyle w:val="Heading2"/>
      </w:pPr>
      <w:r>
        <w:t>Short Hypothesis</w:t>
      </w:r>
    </w:p>
    <w:p>
      <w:r>
        <w:t>Providing documented human intentionality cues and lay-friendly transparency explanations for AI-generated artifacts increases human-rated perceived creativity relative to artifacts presented as autonomous, controlling for objective novelty measures.</w:t>
      </w:r>
    </w:p>
    <w:p>
      <w:r>
        <w:t xml:space="preserve"> </w:t>
      </w:r>
    </w:p>
    <w:p>
      <w:pPr>
        <w:pStyle w:val="Heading2"/>
      </w:pPr>
      <w:r>
        <w:t>Related Work</w:t>
      </w:r>
    </w:p>
    <w:p>
      <w:r>
        <w:t>Existing work falls into three streams: 1) computational novelty metrics that measure structural surprise and distance (embedding distances, surprisal from generative models, and compression-based complexity), 2) computational-creativity and generative-art case studies that highlight market and institutional reception of AI artifacts, and 3) social-psychological and HCI studies showing framing effects on perceived authorship and value. Limitations across these streams include weak cross-modal comparability of metrics, lack of validated multi-construct coding schemes tying provenance to perception, sparse mediation analyses linking intentionality cues to creativity attributions, brittle provenance handling, and few behavioral tests of interpretability tools. Prior methods often rely on single-modality metrics, ad-hoc thresholds, small or convenience samples, and do not preregister causal models or provide adjudication rules for ambiguous provenance.</w:t>
      </w:r>
    </w:p>
    <w:p>
      <w:r>
        <w:t xml:space="preserve"> </w:t>
      </w:r>
    </w:p>
    <w:p>
      <w:pPr>
        <w:pStyle w:val="Heading2"/>
      </w:pPr>
      <w:r>
        <w:t>Abstract</w:t>
      </w:r>
    </w:p>
    <w:p>
      <w:r>
        <w:t>We address whether opaque AI outputs should be called creative by testing how provenance and transparency cues affect human judgments of creativity. We propose a multimodal operational framework that combines a formal coding protocol for authorship/intentionality, objective novelty metrics (embedding distance, surprisal, compressibility), and lay-friendly interpretability artifacts. We curate balanced dossiers across visual, text, and music artifacts and run preregistered behavioral experiments that manipulate autonomy and transparency while collecting expert and lay creativity ratings. The main contribution is a reproducible measurement pipeline that links computable novelty to perceived creativity and tests intentionality as a causal mediator. Expected outcomes are validated metric procedures, intercoder reliability targets, and quantified causal effects of intentionality and transparency on creativity judgments. Results will clarify when AI outputs are epistemically and socially endorsed as creative and produce standards for evaluating creative claims about opaque AI artifacts.</w:t>
      </w:r>
    </w:p>
    <w:p>
      <w:r>
        <w:t xml:space="preserve"> </w:t>
      </w:r>
    </w:p>
    <w:p>
      <w:pPr>
        <w:pStyle w:val="Heading2"/>
      </w:pPr>
      <w:r>
        <w:t>Methodology</w:t>
      </w:r>
    </w:p>
    <w:p>
      <w:r>
        <w:t>1) Prepare corpora and dossiers: assemble reference corpora per modality (images: LAION-CLIP subsets, WikiArt, ImageNet; text: CommonCrawl strata, Project Gutenberg; music: MAESTRO, Lakh, MusicNet) and curate 8–12 case dossiers spanning autonomy and provenance. 2) Compute objective metrics: extract embeddings (CLIP for images, SBERT/mpnet for text, OpenL3/VGGish for audio). Compute cosine distances to corpus centroids, surprisal scores (bits/token or bits/codebook-token) from appropriate generative models, and compressibility ratios using gzip/LZMA. "Embedding" means a numeric vector that represents content; "surprisal" means how unlikely a sequence is under a model; "compressibility" means how well data can be reduced in size. 3) Normalize across strata: convert raw metrics to within-stratum z-scores and percentiles, apply Mahalanobis distance adjustments where needed to account for covariance in embedding spaces. 4) Coding protocol: train coders on a 1–7 intentionality scale with anchor exemplars and binary provenance flags; target ICC ≥0.75 and Cohen's kappa ≥0.7. 5) Interpretability artifacts: produce feature attributions (Integrated Gradients or SHAP), concept-level signals (TCAV), and counterfactual variants; provide 1–2 sentence lay summaries. 6) Human data collection: collect lay and expert ratings of perceived creativity, authorship probability, and meta-sensemaking battery (framing strength, coherence, institutional endorsement). 7) Analysis: validate metrics via elastic-net regressions and permutation tests predicting human ratings; test causal mediation of intentionality using mixed-effects models and formal mediation analysis. 8) Reproducibility: preregister models, store versioned dossiers, document redactions and adjudication decisions.</w:t>
      </w:r>
    </w:p>
    <w:p>
      <w:r>
        <w:t xml:space="preserve"> </w:t>
      </w:r>
    </w:p>
    <w:p>
      <w:pPr>
        <w:pStyle w:val="Heading2"/>
      </w:pPr>
      <w:r>
        <w:t>Experiments</w:t>
      </w:r>
    </w:p>
    <w:p>
      <w:r>
        <w:t>Datasets: curated pilot dossiers (Edmond de Belamy, The Next Rembrandt, AARON, Midjourney/Stable Diffusion studio work, AI-portrait app outputs, algorithmically-curated exhibition entries, commissioned AI-music piece, generative-text sample) plus reference corpora (LAION-CLIP, WikiArt, ImageNet, CommonCrawl, Project Gutenberg, MAESTRO, Lakh, MusicNet). Baselines: 1) autonomous presentation (artifact labeled AI-autonomous, no provenance cues), 2) human-assisted presentation (artifact labeled human-curated with prompt/edit logs), 3) objective-only baseline (present objective novelty metrics but no provenance cues). Experimental design: primary 2×2 factorial (autonomy: autonomous vs human-assisted) × (transparency: explanation vs no-explanation) for pilot N=200 (100 per autonomy arm) and full factorial 2×2×3 (autonomy × transparency × framing) N≈600. Random assignment of participants to conditions. Stimuli: balanced across modalities and fame strata; attention checks included. Measures: perceived_creativity (Likert 1–7), perceived_authorship_probability (0–100%), expert_value_rating (1–7), objective_novelty scores (z-scores of embedding distance, surprisal, compressibility). Validation metrics: ICC and Cohen's kappa for coder reliability, Pearson/Spearman correlations and incremental R^2 for metric prediction of human ratings, ROC/AUC for novelty classification (top-20% cutoff), calibration plots for surprisal. Analysis: primary linear mixed-effects model formula: perceived_creativity ~ autonomy * transparency + objective_novelty + intentionality_score + modality + expertise + (1|participant) + (1|stimulus). Use elastic-net for metric selection, permutation tests for significance, Benjamini–Hochberg FDR control for multiple comparisons. Mediation: causal mediation with intentionality indicators as mediator; report ACME/ATE and sensitivity analyses for unmeasured confounding. Ablations: A1 remove intentionality cues (compare to full); A2 remove normalization (use raw metrics) to test Mahalanobis-centroid effect; A3 explanation type ablation (feature attribution vs counterfactual). Pre-registration: fixed-N, exclusion criteria, and stopping rules specified before data collection.</w:t>
      </w:r>
    </w:p>
    <w:p>
      <w:r>
        <w:t xml:space="preserve"> </w:t>
      </w:r>
    </w:p>
    <w:p>
      <w:pPr>
        <w:pStyle w:val="Heading2"/>
      </w:pPr>
      <w:r>
        <w:t>Risk Factors And Limitations</w:t>
      </w:r>
    </w:p>
    <w:p>
      <w:r>
        <w:t>1) Cross-modal scaling failure: z-score and Mahalanobis normalization may not make metrics fully comparable across modalities. 2) Surprisal intractability: exact image likelihoods are often unavailable; surrogate proxies may misrepresent true surprise. 3) Compute cost: embedding extraction and model-based surprisal require substantial GPU hours and storage. 4) Provenance redaction bias: missing or redacted provenance may systematically bias coder and participant judgments. 5) Coder drift and reliability: maintaining ICC/kappa targets across time and cultures may be difficult. 6) Small effect sizes: transparency or intentionality effects may be smaller than anticipated, requiring larger samples. 7) Interpretability limits: explanation outputs (SHAP/IG/TCAV) may not be meaningful to lay participants. 8) Legal/IP and consent constraints: some high-profile cases may be unavailable for study. 9) Generalization: results from curated dossiers and experimental cover stories may not generalize to all real-world AI artifacts.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