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resistance_to_affective_signals</w:t>
      </w:r>
    </w:p>
    <w:p>
      <w:r>
        <w:t xml:space="preserve"> </w:t>
      </w:r>
    </w:p>
    <w:p>
      <w:pPr>
        <w:pStyle w:val="Heading2"/>
      </w:pPr>
      <w:r>
        <w:t>Title</w:t>
      </w:r>
    </w:p>
    <w:p>
      <w:r>
        <w:t>Experimental and computational tests of whether the subjective experience of effort arises from resisting affective behavior-guiding signals</w:t>
      </w:r>
    </w:p>
    <w:p>
      <w:r>
        <w:t xml:space="preserve"> </w:t>
      </w:r>
    </w:p>
    <w:p>
      <w:pPr>
        <w:pStyle w:val="Heading2"/>
      </w:pPr>
      <w:r>
        <w:t>Short Hypothesis</w:t>
      </w:r>
    </w:p>
    <w:p>
      <w:r>
        <w:t>When agents are instructed to resist stronger affective, behavior-guiding signals (e.g., hunger, pain, temptation), their trialwise subjective felt effort increases, independently of matched metabolic or opportunity costs.</w:t>
      </w:r>
    </w:p>
    <w:p>
      <w:r>
        <w:t xml:space="preserve"> </w:t>
      </w:r>
    </w:p>
    <w:p>
      <w:pPr>
        <w:pStyle w:val="Heading2"/>
      </w:pPr>
      <w:r>
        <w:t>Related Work</w:t>
      </w:r>
    </w:p>
    <w:p>
      <w:r>
        <w:t>Two broad accounts have been used to explain effort: cost/opportunity-cost accounts, which treat effort reports as signals of metabolic cost or foregone alternatives, and resistance-based accounts, which treat effort as the felt consequence of suppressing directed, valenced signals (hunger, pain, craving). Prior empirical work links subjective effort to task difficulty, success probability, and physiological markers (pupil, SCR, HRV, EMG), but often cannot separate metabolic/peripheral work from affective salience. Existing computational models emphasize value-based costs or simple control costs but lack a mechanistic latent resistance parameter tied to multimodal physiological markers. Limitations include weak yoked-controls that fail to match peripheral work, sparse preregistered model comparisons between competing families, limited parameter-recovery analyses, and under-specified preprocessing standards for physiology. These gaps leave unresolved whether subjective effort reflects resistance to affective signals or cost-based computations.</w:t>
      </w:r>
    </w:p>
    <w:p>
      <w:r>
        <w:t xml:space="preserve"> </w:t>
      </w:r>
    </w:p>
    <w:p>
      <w:pPr>
        <w:pStyle w:val="Heading2"/>
      </w:pPr>
      <w:r>
        <w:t>Abstract</w:t>
      </w:r>
    </w:p>
    <w:p>
      <w:r>
        <w:t>We test whether subjective effort is the phenomenology that arises when agents resist directed affective signals, rather than a readout of metabolic or opportunity costs. We combine within-subject behavioral paradigms (hunger/temptation and nociceptive handgrip), tight yoked-controls that match peripheral work without affective cues, multimodal physiology (surface EMG, breath-by-breath VO2, ECG/HRV, SCR, pupillometry), and a preregistered computational model suite. Main contributions are (1) a trialwise Resistance Index (RI) derived from behavioral and physiological indicators, (2) explicit competing models—resistance-only, cost-only, and hybrid—fit with hierarchical Bayesian inference and validated by parameter-recovery simulations, and (3) preregistered model-selection metrics (WAIC/LOO, Bayes factors) and primary contrasts. Expected outcomes are (a) RI predicts felt effort beyond matched metabolic cost, (b) resistance models outperform cost-only models, and (c) identifiable latent parameters that generalize across mental and physical domains.</w:t>
      </w:r>
    </w:p>
    <w:p>
      <w:r>
        <w:t xml:space="preserve"> </w:t>
      </w:r>
    </w:p>
    <w:p>
      <w:pPr>
        <w:pStyle w:val="Heading2"/>
      </w:pPr>
      <w:r>
        <w:t>Methodology</w:t>
      </w:r>
    </w:p>
    <w:p>
      <w:r>
        <w:t>1. Operational definitions: Felt Effort = trialwise subjective rating 0–100 after each trial; Resistance = latent control effort to suppress an affective signal. 2. Paradigms: (a) Temptation: within-subject fasted vs fed × instruction resist vs allow; matched cognitive-load control (n-back) with same timing/VO2 targets. (b) Pain/handgrip: graded thermal nociception × suppress vs express, with yoked trials matching %MVC and VO2 but no nociception. 3. Primary measures: VAS 0–100 Felt Effort, Borg CR10 for physical tasks, Resistance Index (RI). RI inputs: facial EMG suppression, agonist–antagonist co-contraction, overt inhibitory actions (held responses, coder ratings), and self-report suppression items. 4. Physiology preprocessing (explicit): EMG bandpass 20–450 Hz, notch 50/60 Hz, full-wave rectify, 200–250 ms RMS window, 10 Hz low-pass envelope, normalize to MVC; VO2 breath-by-breath, interpolate and align breaths to TTL markers; ECG R-peak detection, RMSSD computed on ≥60 s windows; SCR and pupil phasic responses in 0–6 s windows post-stimulus. All streams synchronized with TTL event markers and stored with timestamps. 5. Modeling: preregister three model families—resistance (latent γ), cost/opportunity (β), hybrid (γ+β). Fit hierarchical Bayesian mixed models to trialwise data with weakly informative priors (standardized slopes ~ Normal(0,1), SDs ~ HalfNormal(0,1)). Model selection: WAIC, leave-one-out cross-validation (LOO), and Bayes factors. Derive RI weights via Bayesian regularized factor analysis (latent-factor model) and report weight uncertainty. 6. Validation: run ≥500 parameter-recovery simulations sampling α (affective strength), γ (resistance gain), β (opportunity-cost weight), multiple SNRs, and cross-modal covariances. 7. Primary contrast: affective-signal strength × resistance instruction → Felt Effort. 8. Preregistration: preprocessing, priors, model specs, primary contrast, and exclusion rules.</w:t>
      </w:r>
    </w:p>
    <w:p>
      <w:r>
        <w:t xml:space="preserve"> </w:t>
      </w:r>
    </w:p>
    <w:p>
      <w:pPr>
        <w:pStyle w:val="Heading2"/>
      </w:pPr>
      <w:r>
        <w:t>Experiments</w:t>
      </w:r>
    </w:p>
    <w:p>
      <w:r>
        <w:t>1. Datasets and sample sizes: Pilot: within-subject N=30 to validate RI and preprocessing. Confirmatory behavioral: N=80 per paradigm (temptation and handgrip). fMRI arm: N=50. Pharmacology/pain arm: N=80. 2. Randomization and design: Within-subject factorials: affective intensity (low/medium/high or fasted/fed) × instruction (resist/allow). Counterbalance order and use yoked within-subject replay to match VO2/EMG traces on control trials. 3. Baselines and comparisons: Models compared are (A) resistance-only, (B) cost-only (metabolic/opportunity), (C) hybrid. Additional baseline: null model with only subject intercepts and task difficulty. Ablation study: fit models with and without RI; test predictive drop when RI removed. 4. Metrics and evaluation: Primary behavioral metric: change in trialwise VAS (effect size β_γ for resistance), RMSE and R^2 for prediction. Model selection: WAIC, LOO, and Bayes factors. Parameter recovery: Pearson correlation between true and recovered parameters (target median r&gt;0.8). Mediation: hierarchical indirect effect (affective → RI → Felt Effort) with posterior credible intervals. Physiological checks: explained variance (ΔR^2) of Felt Effort by RI after controlling VO2 and EMG. 5. Experimental setup details: Trial blocks 120–180 s where possible for VO2 steady-state; HRV windows ≥60 s; SCR/pupil 0–6 s windows; immediate post-trial VAS (single rating) to avoid interrupting dynamics; TTL synchronization for all devices. 6. Analysis pipeline: preregister preprocessing scripts, run parameter-recovery sims, then fit hierarchical Bayesian models to pilot and confirmatory data; report primary contrast tests and model comparisons; perform ablation removing RI and comparing WAIC/LOO.</w:t>
      </w:r>
    </w:p>
    <w:p>
      <w:r>
        <w:t xml:space="preserve"> </w:t>
      </w:r>
    </w:p>
    <w:p>
      <w:pPr>
        <w:pStyle w:val="Heading2"/>
      </w:pPr>
      <w:r>
        <w:t>Risk Factors And Limitations</w:t>
      </w:r>
    </w:p>
    <w:p>
      <w:r>
        <w:t>1. Identifiability: high correlation between resistance (γ) and cost (β) parameters may prevent clear separation despite simulations. 2. Measurement noise: EMG, SCR, and VO2 artifacts or poor synchronization can bias RI and model fits. 3. Temporal resolution limits: VO2 kinetics and HRV require long windows, reducing trialwise resolution. 4. Participant burden: long blocks, pain, fasting, or repeated ratings can increase dropout and nonrandom missingness. 5. Safety and ethics: pharmacology and nociceptive arms need strict medical oversight; dosing and stopping rules add procedural complexity. 6. Generalization: lab-induced affective signals (fasting, thermal pain) may not generalize to ecological temptations or chronic conditions. 7. Computational cost: hierarchical Bayesian fitting and large recovery simulations demand substantial compute and time. 8. Missing data: nonrandom missingness (MNAR) from stopping rules or dropout can bias mediation and model selection. 9. fMRI limits: scanner noise and constraints reduce feasible physiology (VO2, high-density EMG) and may alter subjective dynamics. 10. Demographic biases: stratified sampling may still underrepresent populations, limiting external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