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history_therapy_worldview_trial</w:t>
      </w:r>
    </w:p>
    <w:p>
      <w:r>
        <w:t xml:space="preserve"> </w:t>
      </w:r>
    </w:p>
    <w:p>
      <w:pPr>
        <w:pStyle w:val="Heading2"/>
      </w:pPr>
      <w:r>
        <w:t>Title</w:t>
      </w:r>
    </w:p>
    <w:p>
      <w:r>
        <w:t>History Therapy: a randomized controlled pilot trial of structured historical worldview exposure to improve meaning in life and psychological well-being</w:t>
      </w:r>
    </w:p>
    <w:p>
      <w:r>
        <w:t xml:space="preserve"> </w:t>
      </w:r>
    </w:p>
    <w:p>
      <w:pPr>
        <w:pStyle w:val="Heading2"/>
      </w:pPr>
      <w:r>
        <w:t>Short Hypothesis</w:t>
      </w:r>
    </w:p>
    <w:p>
      <w:r>
        <w:t>Participants who receive History Therapy (structured exposure to curated historical worldviews) will show greater increases in Meaning in Life Questionnaire - Presence scores at post-treatment than participants who receive Secular Narrative Therapy.</w:t>
      </w:r>
    </w:p>
    <w:p>
      <w:r>
        <w:t xml:space="preserve"> </w:t>
      </w:r>
    </w:p>
    <w:p>
      <w:pPr>
        <w:pStyle w:val="Heading2"/>
      </w:pPr>
      <w:r>
        <w:t>Related Work</w:t>
      </w:r>
    </w:p>
    <w:p>
      <w:r>
        <w:t>Existing approaches include meaning-centered psychotherapy, narrative identity and life-story therapies, bibliotherapy (therapeutic use of texts), and culturally informed psychotherapies. Digital humanities methods have been used for curation and delivery of historical texts, and small biomarker studies have explored neural correlates of self-referential processing and meaning. Limitations: prior methods rarely use systematic, curated exposure to alternative historical worldviews as the active ingredient; mechanistic measures (worldview flexibility, narrative integration) are undeveloped or unvalidated; trials often lack active controls that match reflective depth; cultural-provenance governance for historical materials is weak or absent; safety protocols for potential identity or existential destabilization are under-specified; and sample sizes are typically too small to support mediation or cross-cultural invariance testing.</w:t>
      </w:r>
    </w:p>
    <w:p>
      <w:r>
        <w:t xml:space="preserve"> </w:t>
      </w:r>
    </w:p>
    <w:p>
      <w:pPr>
        <w:pStyle w:val="Heading2"/>
      </w:pPr>
      <w:r>
        <w:t>Abstract</w:t>
      </w:r>
    </w:p>
    <w:p>
      <w:r>
        <w:t>This study tests History Therapy (HT), a structured, manualized intervention that uses curated historical worldview modules to prompt self-reflection, narrative re-authoring, and values-based action, aiming to increase meaning in life and psychological well-being. We will run a pilot randomized controlled trial comparing HT to Secular Narrative Therapy (SNT), a well-matched active control without historical-worldview exposure. Primary outcome is change in Meaning in Life Questionnaire - Presence (MLQ-Presence) from baseline to post-treatment. Secondary outcomes include WHO-5 wellbeing, depressive symptoms, newly developed Worldview Flexibility Scale (WFS), HT Narrative Integration Scale (HT-NIS), and coded narrative coherence. The main contribution is an operationalized intervention, validated short-process measures, and an initial test of mechanisms linking worldview exposure to meaning via increased worldview flexibility and narrative integration. Expected outcome: HT will produce larger gains in presence of meaning and show mediational evidence that increases in WFS at mid-treatment account for outcome differences, supporting feasibility for a larger efficacy trial.</w:t>
      </w:r>
    </w:p>
    <w:p>
      <w:r>
        <w:t xml:space="preserve"> </w:t>
      </w:r>
    </w:p>
    <w:p>
      <w:pPr>
        <w:pStyle w:val="Heading2"/>
      </w:pPr>
      <w:r>
        <w:t>Methodology</w:t>
      </w:r>
    </w:p>
    <w:p>
      <w:r>
        <w:t>Design and manual: Develop a six-session manualized HT delivered weekly. Session structure: 1) intake, safety, orientation; 2) first curated worldview exposure and guided reflection; 3) comparative mapping and values clarification; 4) narrative re-authoring exercises; 5) behavioral translation and action planning; 6) consolidation and relapse prevention. Curated modules: assemble 25–40 short vignettes (2–4 pages or multimedia snippets) representing diverse historical worldviews with provenance metadata (author/source, era, cultural lineage, translation notes, trigger flags). Control: Secular Narrative Therapy (SNT) manualized to match session count, time, homework, and therapist contact but without historical modules. Measure development: generate 30-item item pool for Worldview Flexibility Scale (WFS) and 25-item pool for HT Narrative Integration Scale (HT-NIS). Use cognitive interviews (N=30–50), then pilot psychometrics (EFA/CFA, IRT models) in larger samples. Process and outcomes: primary outcome MLQ-Presence; secondary WHO-5, PHQ-9, SWLS, WFS, HT-NIS, narrative-coherence coding (adapted McAdams) and automated semantic-coherence metrics (text cohesion and thematic diversity). EMA: 3 prompts/day for 14 days centered on sessions 2–4 measuring momentary meaning, affect, perceived agency, and value-consistent acts. Biomarker optional subsample: EEG resting-state and self-referential ERP tasks; optional fMRI resting-state and short self-reference task. Randomization and blinding: randomize 1:1 HT vs SNT using permuted blocks (block size 4 or 6) stratified by site and baseline PHQ-9 severity (≤9, 10–19, ≥20). Therapist training and fidelity: 24 hours training + two supervised practice cases; fidelity checklist (8 items) with audits of 20% of sessions. Data governance: pseudonymize participant IDs, encrypt data at rest and in transit, tiered access for sensitive narrative or neural data. Technical term notes: EFA/CFA mean exploratory/confirmatory factor analysis (statistical methods to test item structure); IRT (item response theory) models estimate item properties like discrimination; EMA means ecological momentary assessment (brief real-time surveys).</w:t>
      </w:r>
    </w:p>
    <w:p>
      <w:r>
        <w:t xml:space="preserve"> </w:t>
      </w:r>
    </w:p>
    <w:p>
      <w:pPr>
        <w:pStyle w:val="Heading2"/>
      </w:pPr>
      <w:r>
        <w:t>Experiments</w:t>
      </w:r>
    </w:p>
    <w:p>
      <w:r>
        <w:t>Sample and recruitment: recruit N=80 participants for a pilot RCT (n=40 per arm). Eligibility: adults 18–70, seeking deeper meaning, PHQ-9 &lt;20 at baseline (stabilize if ≥20), exclude active psychosis, untreated bipolar mania, severe substance dependence, or current intent/plan for suicide per C-SSRS. Baseline measures: MLQ-Presence, WHO-5, PHQ-9, GAD-7, WFS, HT-NIS, SWLS, narrative prompt. Randomization: permuted blocks, stratified by site and baseline PHQ-9 band. Assessment timepoints: baseline (T0), mid-treatment after session 3 (T1), post-treatment within 2 weeks of final session (T2), 3-month follow-up (T3). Primary test: mixed-effects linear model of MLQ-Presence with fixed effects for treatment, time, treatment×time, baseline MLQ, site, and random intercepts for participant and therapist; primary contrast is treatment×time at T2. Secondary tests: WHO-5, PHQ-9 and WFS/HT-NIS changes using same model family. Multiplicity: single primary endpoint MLQ-Presence; secondary outcomes reported with Holm correction. Power/sample-size: pilot N=80 provides exploratory estimates; detectable two-sided Cohen's d with n=40/group is ≈0.63 at 80% power and alpha=0.05. For a fully powered RCT to detect d=0.40 requires ~200 total (n≈100/group). Missing data: multiple imputation (50 imputations) and sensitivity pattern-mixture models for MNAR. Mediation: pre-register longitudinal mediation using WFS change T1 (mid) as mediator between treatment and MLQ-Presence T2; estimate indirect effect with bootstrapped 95% CI. Baselines and comparators: primary comparator SNT. Ablation/contrast: include secondary comparison metrics that isolate historical exposure by measuring therapist-rated exposure integrity; if feasible add a small SPE (Structured Psychoeducation) arm in follow-up. Biomarker subsample: N=30–40 selected randomly across arms for EEG pre/post; EEG analyses: preprocess bandpass 0.1–45 Hz, ICA artifact removal, compute frontal alpha power and self&gt;other ERP amplitudes; correct multiple comparisons with false discovery rate (FDR). Narrative analyses: manual coding (adapted McAdams) producing coherence scores and automated semantic-coherence indices; compute inter-rater ICC for manual codes. Evaluation metrics: primary effect size and p-value for MLQ-Presence; secondary effect sizes and CIs; mediation indirect effect and proportion mediated; feasibility metrics: recruitment rate, retention, fidelity adherence (&gt;80%), safety events.</w:t>
      </w:r>
    </w:p>
    <w:p>
      <w:r>
        <w:t xml:space="preserve"> </w:t>
      </w:r>
    </w:p>
    <w:p>
      <w:pPr>
        <w:pStyle w:val="Heading2"/>
      </w:pPr>
      <w:r>
        <w:t>Risk Factors And Limitations</w:t>
      </w:r>
    </w:p>
    <w:p>
      <w:r>
        <w:t>Potential for participant distress or identity destabilization leading to withdrawal or adverse events. Cultural or epistemic harm from misrepresenting or essentializing historical worldviews. Measurement risk: newly developed WFS and HT-NIS may not achieve reliability or invariance across cultural groups, limiting interpretability. Small pilot sample limits power to detect small to moderate effects and mediation. Biomarker subsample small and exploratory; neural findings may not replicate. Recruitment and retention challenges for diverse cultural groups and translation burdens. Data-sharing risks: narrative texts contain re-identifying cultural details, complicating de-identification. Platform and compute limits: processing automated semantic metrics and neuroimaging requires moderate compute and specialized pipelines. Generalization: effects observed in pilot clinical or community samples may not generalize to other populations or delivery modes. Ethical/regulatory: obtaining timely community advisory input and consent for sensitive historical materials may delay timelines.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