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pygmalion_ai_narratives</w:t>
      </w:r>
    </w:p>
    <w:p>
      <w:r>
        <w:t xml:space="preserve"> </w:t>
      </w:r>
    </w:p>
    <w:p>
      <w:pPr>
        <w:pStyle w:val="Heading2"/>
      </w:pPr>
      <w:r>
        <w:t>Title</w:t>
      </w:r>
    </w:p>
    <w:p>
      <w:r>
        <w:t>A multimodal causal inference study of how cinematic narratives and regulatory discourse shape regional AI research funding and topic allocation</w:t>
      </w:r>
    </w:p>
    <w:p>
      <w:r>
        <w:t xml:space="preserve"> </w:t>
      </w:r>
    </w:p>
    <w:p>
      <w:pPr>
        <w:pStyle w:val="Heading2"/>
      </w:pPr>
      <w:r>
        <w:t>Short Hypothesis</w:t>
      </w:r>
    </w:p>
    <w:p>
      <w:r>
        <w:t>Greater regional exposure to optimistic Pygmalion-framed cinematic narratives causes a measurable increase in the regional share of AI research funding and publications toward capability-oriented projects within 12 months, relative to regions exposed primarily to pessimistic Golem-framed narratives.</w:t>
      </w:r>
    </w:p>
    <w:p>
      <w:r>
        <w:t xml:space="preserve"> </w:t>
      </w:r>
    </w:p>
    <w:p>
      <w:pPr>
        <w:pStyle w:val="Heading2"/>
      </w:pPr>
      <w:r>
        <w:t>Related Work</w:t>
      </w:r>
    </w:p>
    <w:p>
      <w:r>
        <w:t>Prior work has studied media framing effects, narrative influence on public opinion, and how policy texts shape research incentives. Computational media studies use content coding and NLP to measure frames and sentiment, while policy evaluation literature applies difference-in-differences, event-study, and synthetic-control methods to estimate causal effects of laws and announcements. Machine learning research has developed multilingual classifiers (BERT, XLM-R) for framing detection. Limitations remain: most studies treat exposure crudely (binary or simple counts), often ignore temporal decay and reach, rarely combine film, news, policy, and funding corpora, and face endogeneity when cultural products coincide with policy debates. Cross-cultural and multilingual validity is weak in many models, and causal designs often lack credible instruments or placebo tests. Existing topic measures for research outputs use unsupervised topic models that need stronger human validation.</w:t>
      </w:r>
    </w:p>
    <w:p>
      <w:r>
        <w:t xml:space="preserve"> </w:t>
      </w:r>
    </w:p>
    <w:p>
      <w:pPr>
        <w:pStyle w:val="Heading2"/>
      </w:pPr>
      <w:r>
        <w:t>Abstract</w:t>
      </w:r>
    </w:p>
    <w:p>
      <w:r>
        <w:t>This project investigates whether and how cultural narratives—specifically optimistic Pygmalion versus pessimistic Golem cinematic frames—affect regional AI research funding and topic choices. We combine multimodal media corpora (films, subtitles, reviews), policy texts, funding records, and publication metadata to construct a time-varying exposure index that weights narrative valence by regional reach and temporal decay. We apply pre-registered causal designs: staggered difference-in-differences, event studies, instrumental-variable tests using staggered streaming rollouts and festival premieres, and synthetic controls. We also run randomized priming experiments with public and researcher samples to triangulate mechanisms. Main contributions are (1) a reproducible multimodal pipeline and intercultural codebook for narrative valence, (2) an operational exposure index linking media reach to research and funding outcomes, and (3) triangulated causal estimates of narrative influence. Expected outcomes include quantified short-run effects of cinematic framing on funding and publication shares and validated tools for policymakers and scholars to assess narrative impacts across jurisdictions.</w:t>
      </w:r>
    </w:p>
    <w:p>
      <w:r>
        <w:t xml:space="preserve"> </w:t>
      </w:r>
    </w:p>
    <w:p>
      <w:pPr>
        <w:pStyle w:val="Heading2"/>
      </w:pPr>
      <w:r>
        <w:t>Methodology</w:t>
      </w:r>
    </w:p>
    <w:p>
      <w:r>
        <w:t>1. Corpus assembly: collect film metadata (IMDb/OMDb), scripts/subtitles (OpenSubtitles, licensed repositories), streaming availability and release dates, news (GDELT, LexisNexis), policy texts from government portals, funding records (NSF, CORDIS, public grant announcements), and publication metadata (arXiv, Semantic Scholar). 2. Codebook and annotation: build a multimodal codebook with core dimensions: narrative valence (optimistic vs dystopian), agency/anthropomorphism, inevitability, risk type, prescriptive tone, and visual markers. Train bilingual coders, double-code 20% overlap, and compute Krippendorff's alpha (a reliability score for annotation agreement). 3. Exposure index: compute Exposure_rt = sum_j [Valence_j * Reach_jr * exp(-lambda * Age_j)]. Explain terms: Valence_j is the coded frame score for item j; Reach_jr is regional availability or viewership; Age_j is years since release; lambda controls temporal decay. 4. NLP classifiers: develop baselines (TF-IDF + logistic regression), monolingual BERT variants, and XLM-R fine-tuned models for valence and policy-tone detection. Validate on held-out multilingual sets. 5. Causal designs: implement staggered DiD and event-study models with region and time fixed effects; use instruments such as staggered streaming/subtitle rollouts and festival premieres where plausibly exogenous; apply synthetic control for single-jurisdiction shocks. 6. Experiments: run randomized priming RCTs (public survey and researcher workshop) to test short-run changes in expectations and stated research priorities. 7. Reproducibility and governance: pre-register analysis, use Git + DVC and Docker, and enforce layered data access for licensed materials. 8. Uncertainty propagation: measure classifier error and propagate it into causal SEs via bootstrap or simulation so inference accounts for measurement error.</w:t>
      </w:r>
    </w:p>
    <w:p>
      <w:r>
        <w:t xml:space="preserve"> </w:t>
      </w:r>
    </w:p>
    <w:p>
      <w:pPr>
        <w:pStyle w:val="Heading2"/>
      </w:pPr>
      <w:r>
        <w:t>Experiments</w:t>
      </w:r>
    </w:p>
    <w:p>
      <w:r>
        <w:t>Datasets: IMDb/OMDb film metadata; OpenSubtitles and licensed scripts; streaming availability logs and platform rollout dates; GDELT/LexisNexis news; national policy portals for AI strategies and laws; grant databases (NSF, CORDIS, public Chinese grant announcements); publication metadata (arXiv, Semantic Scholar); patents (USPTO, EPO); social data via Twitter/X Academic API and Reddit Pushshift or aggregated indices. Baselines: TF-IDF + logistic regression; monolingual BERT; XLM-R fine-tuned. Evaluation metrics: annotation reliability = Krippendorff's alpha; classifier performance = precision, recall, F1, AUC, Brier calibration score. Causal evaluation: estimate treatment effects with DiD/event-study and report clustered standard errors, pre-trend tests, and placebo windows. Experimental setup: public survey RCT N=1,200 with three arms (Pygmalion prime, Golem prime, neutral), ~400 per arm; researcher workshop RCT N≈450. Event-study windows: media reaction (-60 to +120 days), funding (-3 to +12 months), publications (-12 to +36 months). Causal comparisons: (1) DiD estimates of high-exposure versus low-exposure regions; (2) IV estimates using staggered streaming rollouts as instruments; (3) synthetic control for major single-region film shocks. Ablation studies: A. Exposure index ablation removing Reach component to test role of audience reach; B. Classifier ablation comparing TF-IDF, BERT, and XLM-R performance and downstream effect sizes; C. Causal-method ablation comparing DiD, IV, and synthetic control estimates. Statistical tests: permutation inference for event-study significance; multiple-testing correction using false discovery rate for outcome families.</w:t>
      </w:r>
    </w:p>
    <w:p>
      <w:r>
        <w:t xml:space="preserve"> </w:t>
      </w:r>
    </w:p>
    <w:p>
      <w:pPr>
        <w:pStyle w:val="Heading2"/>
      </w:pPr>
      <w:r>
        <w:t>Risk Factors And Limitations</w:t>
      </w:r>
    </w:p>
    <w:p>
      <w:r>
        <w:t>1. Measurement error: Reach metrics may be imprecise (platform promotion vs actual viewership), causing bias in exposure. 2. Endogeneity: film release timing may correlate with policy debates, making causal attribution ambiguous. 3. Confounding events: concurrent high-profile AI incidents or policy announcements can confound estimates. 4. Instrument validity: staggered rollouts and festival timing may violate exclusion if they affect outcomes through other channels. 5. Cross-lingual classifier limits: reduced performance in low-resource languages and cultural metaphors. 6. Data access and legal limits: paywalled scripts, platform API limits, and jurisdictional restrictions (especially China) may restrict coverage. 7. Scalability: large multimodal models and dataset storage require significant compute and budget. 8. External validity: results from selected films and jurisdictions may not generalize to other media types or regions. 9. Ethical risks: priming can cause distress; dataset releases risk dual-use or policy amplification. 10. Evaluation bias: topic-model assignment of 'safety' vs 'capability' may misclassify nuanced research abstracts.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