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peircean_semiosis_igs</w:t>
      </w:r>
    </w:p>
    <w:p>
      <w:r>
        <w:t xml:space="preserve"> </w:t>
      </w:r>
    </w:p>
    <w:p>
      <w:pPr>
        <w:pStyle w:val="Heading2"/>
      </w:pPr>
      <w:r>
        <w:t>Title</w:t>
      </w:r>
    </w:p>
    <w:p>
      <w:r>
        <w:t>Operationalizing Peircean semiotics with persistent interpretant memory to improve indexical grounding in large language models</w:t>
      </w:r>
    </w:p>
    <w:p>
      <w:r>
        <w:t xml:space="preserve"> </w:t>
      </w:r>
    </w:p>
    <w:p>
      <w:pPr>
        <w:pStyle w:val="Heading2"/>
      </w:pPr>
      <w:r>
        <w:t>Short Hypothesis</w:t>
      </w:r>
    </w:p>
    <w:p>
      <w:r>
        <w:t>Adding an append-only interpretant memory module, provenance-linked referent graphs, and contrastive sign-object training causes a statistically significant increase in Indexical Grounding Score (IGS) compared to language-only and extended-context LLM baselines.</w:t>
      </w:r>
    </w:p>
    <w:p>
      <w:r>
        <w:t xml:space="preserve"> </w:t>
      </w:r>
    </w:p>
    <w:p>
      <w:pPr>
        <w:pStyle w:val="Heading2"/>
      </w:pPr>
      <w:r>
        <w:t>Related Work</w:t>
      </w:r>
    </w:p>
    <w:p>
      <w:r>
        <w:t>Existing approaches include pure text-based large language models, extended-context LLMs that use longer histories, retrieval-augmented systems that fetch documents at generation time, memory-augmented architectures that store episodic vectors, and RLHF methods that shape behavior via human feedback. Prior multimodal grounding work ties perceptual inputs to output tokens but often lacks durable, auditable memory or provenance. Retrieval-augmentation improves factual consistency but typically relies on similarity-only retrieval without provenance chains or explicit interpretant records. Memory modules have improved short-term continuity but often allow silent overwrites and do not expose revision histories for adjudication. RLHF improves alignment of outputs to human preferences but does not reliably enforce persistent sign-to-referent coupling. Limitations across these methods are: absent or ephemeral indexical grounding (models mirror linguistic surface), lack of standardized metrics for indexicality, limited cross-cultural deictic evaluation, and sparse defenses or testbeds for memory poisoning and provenance tampering.</w:t>
      </w:r>
    </w:p>
    <w:p>
      <w:r>
        <w:t xml:space="preserve"> </w:t>
      </w:r>
    </w:p>
    <w:p>
      <w:pPr>
        <w:pStyle w:val="Heading2"/>
      </w:pPr>
      <w:r>
        <w:t>Abstract</w:t>
      </w:r>
    </w:p>
    <w:p>
      <w:r>
        <w:t>Large language models often reproduce the linguistic surface of training data without stable, situational grounding, producing a "hall of mirrors" effect where referents are not reliably coupled to percepts. We propose a semiotics-informed approach that treats model grounding as a triadic relation between sign, object (referent), and interpretant (internal disposition). The method adds an append-only interpretant memory module keyed to provenance-hashed event records and referent graphs, and trains models with a composite loss combining language modeling, a consistency loss that aligns retrieved interpretants with post-conditioning interpretants, and a contrastive sign–object objective. Human adjudication events are recorded and used in an RLHF reward that favors permanence of corrected interpretants. We introduce the Indexical Grounding Score (IGS) to measure grounding above linguistic priors and provide a synthetic triadic experimental suite for causal evaluation. Expected outcomes are measurable improvements in IGS, higher normative repair permanence, and a reproducible pilot harness for testing semiotic grounding in LLMs.</w:t>
      </w:r>
    </w:p>
    <w:p>
      <w:r>
        <w:t xml:space="preserve"> </w:t>
      </w:r>
    </w:p>
    <w:p>
      <w:pPr>
        <w:pStyle w:val="Heading2"/>
      </w:pPr>
      <w:r>
        <w:t>Methodology</w:t>
      </w:r>
    </w:p>
    <w:p>
      <w:r>
        <w:t>1) Interpretant representation: implement a dedicated interpretant encoder that maps a sign (tokens or multimodal embedding) plus a compact perceptual descriptor into a fixed-size vector (embedding). Example: use a 256-dimensional vector produced by a small transformer encoder or a 3-layer MLP. An interpretant record stores {interpretant_id, embedding, symbolic_tags, linked_events, revision_history}. "Embedding" means a numeric vector representing the model's internal disposition. 2) Event store and referent graph: record every interaction as an append-only event with fields (event_id, timestamp, actor, raw_input, percept_snapshot_id, sign_embedding, referent_id, interpretant_id, provenance_hash). Referents are nodes in a graph database with sensor-derived descriptors and human labels. 3) Training objectives: use L_total = L_CE + λ1 L_consistency + λ2 L_contrastive + L_RLHF. L_CE = standard cross-entropy language loss. L_consistency = 1 - cosine(I_retrieved, I_post) averaged over training examples; it forces retrieved interpretants to match model-updated interpretants. L_contrastive uses an InfoNCE loss over sign–object pairs to strengthen sign-to-object coupling. L_RLHF is a reward term computed from adjudication agreement and permanence (see Experiments). 4) Retrieval and ranking: store interpretant embeddings in a vector DB and use a pluggable scoring function Score = normalize(w_recency * f_time + w_causality * f_path + w_consensus * f_adjudication + w_sim * cosine(sim_query,embedding)). 5) Provenance: compute SHA-256 hash chain across appended events so any edit breaks the chain and is detectable. 6) Interpretant update policy: append-only revisions where new interpretant records point to prior ones; no silent overwrites. 7) Metric definition (IGS): for trials i define y_i = 1 if model selects true referent r_i given P_i and L_i; p_full = mean(y_i|P,L); p_null = mean(y_i|P_permuted,L); IGS = (p_full - p_null)/(1 - p_null). 8) Explain terms simply: "sign" = input token sequence or perceptual cue; "referent" = external object or state; "interpretant" = stored internal vector linking sign to referent.</w:t>
      </w:r>
    </w:p>
    <w:p>
      <w:r>
        <w:t xml:space="preserve"> </w:t>
      </w:r>
    </w:p>
    <w:p>
      <w:pPr>
        <w:pStyle w:val="Heading2"/>
      </w:pPr>
      <w:r>
        <w:t>Experiments</w:t>
      </w:r>
    </w:p>
    <w:p>
      <w:r>
        <w:t>Datasets: 1) Synthetic triadic tabletop dataset: N visible objects per scene, synchronized RGB snapshots, timestamped human deictic gestures, text prompts with deictics; generate 2,000 pilot trials. 2) Cross-linguistic deictic subset: languages sampled to cover proximal/distal and evidential marking; &gt;=200 validated trials per language for pilot. Baselines: (A) language-only LLM, (B) extended-context LLM that receives longer transcript but no persistent memory, (C) memory-augmented LLM with scrambled provenance links. Evaluation metrics: Indexical Grounding Score (IGS), Normative Repair Rate (NRR), Triadic Inference Consistency (TIC), Epistemic Responsibility Index (ERI), accuracy, bootstrap 95% CIs, and permutation-test p-values. Setup: train or fine-tune comparable LLM backbones across conditions, use same tokenizer and seed, store interpretant vectors in a vector DB, run retrieval-augmented generation. Statistical model: mixed-effects logistic regression for trial accuracy with fixed effect condition and random intercepts for subject, session, referent: formula y ~ condition + (1|subject) + (1|session) + (1|referent). Also fit Bayesian hierarchical models for effect size posteriors. Ablation study: compare full system vs memory-scrambled condition to estimate ΔIGS; perform bootstrap over trials and permutation test for significance. Sample sizes: pilot 2,000 trials across conditions (approx. 300–500 trials per cell), power target detect d≈0.3 at 80%. Compute: pilot training and ablations ~40 GPU-days (A100-equivalent). Analysis: report IGS with bootstrap CIs, mixed-effects coefficient and p-value, and posterior credible intervals for Bayesian models.</w:t>
      </w:r>
    </w:p>
    <w:p>
      <w:r>
        <w:t xml:space="preserve"> </w:t>
      </w:r>
    </w:p>
    <w:p>
      <w:pPr>
        <w:pStyle w:val="Heading2"/>
      </w:pPr>
      <w:r>
        <w:t>Risk Factors And Limitations</w:t>
      </w:r>
    </w:p>
    <w:p>
      <w:r>
        <w:t>Technical failure modes: false-indexing where p_null is high and the model relies on linguistic priors instead of percepts; temporal decay where interpretant coupling weakens across sessions; provenance corruption that breaks auditability. Security risks: memory poisoning attacks that insert adversarial events to mislead referent links; provenance tampering to hide bad edits. Privacy constraints: stored interpretant embeddings and event logs may leak personal data; differential privacy will reduce utility. Annotation and evaluation biases: human adjudicators can disagree, cultural norms for deictics vary, and achieving Cohen's kappa ≥0.8 requires training and calibration. Scalability and compute: persistent vector stores and provenance logs increase storage and retrieval costs; pilot compute estimates may not scale linearly to larger deployments. RLHF limitations: reward design can be exploited, leading to gaming or short-lived fixes. Generalization limits: success in synthetic triadic environments may not transfer to complex real-world sensorimotor contexts or to languages and cultures not covered in the dataset.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