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llm_mh_phq_gad_suicide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Evaluation of retrieval-augmented and adapter-based large language models for automated PHQ-9/GAD-7 extraction and calibrated suicidality screening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Retrieval-augmented generation (RAG) and adapter-based domain adaptation will achieve higher sensitivity and better probabilistic calibration than standard domain fine-tuning for PHQ-9/GAD-7 item extraction and suicidality screening on multi-site clinical and therapy text.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automated mental-health text processing has followed three main approaches: rule-based or keyword systems; supervised fine-tuning of pretrained language models on labeled clinical text; and retrieval-augmented or grounding methods that fetch supporting documents before generation. Other efforts use adapters (small added weights) for data-efficient domain adaptation and federated/differentially-private training to protect data. Limitations remain: rule-based systems lack nuance; fine-tuned models can hallucinate, overfit to site-specific style, and require large labeled sets; RAG methods reduce hallucination but depend on curated retrieval corpora and provenance; adapter methods reduce labeling needs but are less studied for calibration; privacy-preserving training (DP/FL) trades privacy for performance and is under-characterized on rare outcomes like suicidality. Existing datasets are skewed (ICU-heavy EHRs, Reddit self-reports) and lack consistent clinician adjudication, multilingual coverage, and sufficient positive suicidality cases for robust validation.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focused experimental study comparing retrieval-augmented generation (RAG), adapter-based domain adaptation, and standard domain fine-tuning of large language models for two clinical tasks: automated extraction of PHQ-9 and GAD-7 item-level responses from clinical and therapy text, and calibrated screening for imminent suicidality. The study uses multi-source, de-identified text (EHR notes, therapy transcripts, and validated questionnaires) with clinician-labeled item scores and suicidality adjudication. We evaluate sensitivity, calibration, and fairness across demographic subgroups, and measure effects of privacy-preserving training (differential privacy and federated learning). Main contributions are: (1) a head-to-head empirical comparison of RAG, adapters, and fine-tuning on clinically relevant extraction and screening tasks; (2) systematic evaluation of post-hoc and conformal calibration methods for clinical probabilities; and (3) assessment of privacy-utility tradeoffs under DP/FL for rare-event detection. Expected outcomes include clear recommendations about model choice, calibration practices, and privacy settings needed to meet clinical-safety targets for screening and measurement-based care.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curation: gather multi-site, de-identified clinical notes, psychotherapy transcripts, and validated PHQ-9/GAD-7 responses. Build annotation schema with item-level labels, suicidality flags (severity and temporality), demographic fields, provenance, and annotator confidence. 2) Model arms: (A) RAG — a retriever that finds relevant documents from a vetted knowledge index plus a generator conditioned on retrieved context (RAG combines retrieval and generation; retriever finds text, generator writes output); (B) Adapter-based — freeze base LLM and train small adapter layers for domain adaptation (adapters add few parameters for new domain); (C) Full fine-tune — update all model weights on labeled data. 3) Privacy training: implement DP-SGD for fine-tuning and FedProx for federated experiments; DP-SGD uses gradient clipping and noise addition (clipping = L2 1.0). 4) Calibration &amp; uncertainty: apply Platt scaling or isotonic regression (post-hoc calibration), conformal prediction (gives valid prediction sets; simple method that controls error rate), and deep ensembles (train multiple models and average to get uncertainty). 5) Evaluation pipeline: internal cross-validation, external site/temporal validation, and clinician human-evaluation panels. 6) Safety/Human-in-loop: for suicidality, every high-risk output must trigger a mandatory clinician review; log escalation decisions and timestamps. 7) Ablations: remove retrieval grounding, remove calibration, and vary DP epsilon to measure impact. 8) Reporting: per-task sensitivity, specificity, PPV/NPV with confidence intervals, AUC, Brier score, calibration plots, hallucination rate per 1k tokens, and subgroup fairness metrics.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MIMIC-III/IV clinical notes (EHR), CLPsych shared-task corpora, DAIC-WOZ, licensed Counseling and Psychotherapy Transcripts (where permitted), RSDD/eRisk/Reddit subsets for supplemental signals, plus multi-site curated therapy/EHR notes with clinician PHQ/GAD and suicidality labels. Preprocessing: de-identify, normalize timestamps, segment encounters, and map item labels. Baselines: (1) rule-based keyword+pattern extractor; (2) fine-tuned LLM (full fine-tune); (3) adapter-based LLM; (4) RAG pipeline with vetted KB. Calibration baselines: raw model scores, Platt scaling, isotonic regression, and conformal prediction. Privacy/FL baselines: centralized training (no DP), DP-SGD at ε ∈ {0.1,1.0,4.0}, and FedProx federated runs. Evaluation metrics: sensitivity, specificity, PPV, NPV with 95% CIs; AUC; item-level Cohen's kappa; ICC for total scores; Brier score and calibration-in-the-large; decision-curve net benefit; hallucination rate per 1k tokens; equalized odds and subgroup calibration. Experimental setup: stratified 5-fold internal cross-validation, external validation on held-out site(s) and temporal split, and prospective pilot with clinician review. Human evaluation: clinician panel review N=200 outputs per task, target inter-rater kappa ≥0.7. Sample sizes: for PHQ/GAD extraction target ≥140 positive cases (example: if positive rate 20% then total N ≈700); for suicidality require ≥140 positive cases (enrich sampling if prevalence low). Ablation studies: (A) model arm ablation: compare RAG vs adapter vs fine-tune; (B) calibration ablation: no calibration vs Platt vs isotonic vs conformal; (C) privacy ablation: ε=0.1 vs 1.0 vs 4.0. Training hyperparameters (examples): DP-SGD clip=1.0, batch size ∈ {128,256,512}, noise multiplier ∈ {0.5,1.0,2.0}; ensembles of size 5 for uncertainty. Reporting: full per-subgroup metrics, calibration plots, and utility vs privacy curves.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model hallucination producing incorrect clinical assertions; poor calibration yielding misleading probabilities; OOD (out-of-distribution) inputs causing unpredictable outputs. Data and evaluation biases: site-skewed datasets (ICU-heavy), self-report bias from social media, limited clinician-adjudicated suicidality labels, and lack of multilingual coverage. Rare-event constraints: suicidality positives may be too rare for precise estimates without heavy enrichment. Privacy-performance tradeoffs: strong DP (small ε) may significantly reduce accuracy. Scalability and compute limits: large LLMs and RAG indices require substantial GPU memory and storage; federated protocols add communication overhead. Generalization limits: models tuned on specific sites or languages may not transfer; cultural/idiom differences may change symptom expression. Regulatory and legal constraints: SaMD classification or data-use agreements may restrict deployment. Human factors limits: clinician acceptance, alert fatigue, and workflow integration are not solved by model performance alone.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