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german_minority_archive_affect_impact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evaluation of the social, affective, and language impacts of a German minority community archive in Silesia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Participation in archive activities (contributing materials or attending events) causes an increase in participants' German language use frequency and in measured identity salience within six months.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community and independent archives has documented roles in memory preservation, identity work, and local engagement using oral history and qualitative methods. Studies of language preservation emphasize community-driven documentation, educational programs, and sociolinguistic description but often rely on small convenience samples. Computational approaches to affect and sentiment in minority-language data typically use multilingual transformer models or lexicons, yet they perform poorly on dialectal and code-switched material without targeted adaptation. Existing mixed-methods projects rarely combine validated translation workflows, rigorous intercoder reliability targets, GDPR-compliant governance, and linguistically informed automated pipelines. Gaps include limited attention to affect intensity mapping to measurable outcomes, weak translation-validation procedures for dialectal speech, insufficient annotation schemas for code-switching, and lack of replication-ready pipelines linking coded affect to quantitative change over time.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evaluates how an independent community archive (the German Minority Research Center in Silesia) affects contributors and community members in social, affective, and language dimensions. We combine purposive life-history interviews (30–50), a community survey (N≥150), event attendance logs, and follow-up measures at 3–6 months. Methods include automated topic scans (TF-IDF + topic models), a reproducible manual codebook for thematic and affect tags (pride, nostalgia, grief, anger, ambivalence, joy with intensity 1–5), sociolinguistic annotation of code-switching and dialect, and fine-tuned multilingual transformer models validated on a gold corpus (~1,000 annotated segments). We apply regression and mixed-effects models to test whether archive participation predicts increases in German use and identity salience. Main contributions are: an operational mixed-methods pipeline (sampling, translation validation, affect tagset, GDPR-aligned stewardship), a validated annotation schema for dialect/code-switch data, and empirical tests of archive-driven changes in language behavior and identity. Expected outcome is a reproducible toolkit and evidence linking archival engagement to measurable social and linguistic impacts.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Sampling and data collection: Use purposive and theoretical sampling to collect 30 core life-history interviews and up to 50 total interviews. Run a community survey with N≥150 respondents. Collect event attendance logs and repeat surveys at 3 and 6 months. 2) Transcription and translation: Produce verbatim transcripts in the original language. Back-translate 10–15% of transcripts and keep translator logs. Mark language choice per segment. 3) Annotation: Build a codebook with 8–12 thematic codes and an affect tagset (pride, nostalgia, grief, anger, ambivalence, joy) with intensity 1–5. Add language labels: standard German, Silesian German, Polish, mixed; include a code-switch flag. Train coders on 15–20% of transcripts and double-code 20% to measure Cohen's kappa. 4) Automated pipelines: Do an initial automated scan (TF-IDF and topic modeling) to find themes. Create a gold corpus of ~1,000 annotated segments. Fine-tune a multilingual transformer (e.g., XLM-R or mBERT) on the gold corpus for thematic and affect classification. Augment models with dialect lexicons and code-switch features. Validate with 5-fold cross-validation and held-out test set. 5) Analysis: Compute intercoder reliability (Cohen's kappa) and ML F1. Measure pre/post changes in identity salience and German use frequency with mixed-effects regression models; use affect tag intensity as predictors. 6) Data governance: Pseudonymize data, store on EU servers, encrypt at rest (AES-256) and in transit (TLS), and use tiered access. Record interviewer positionality and reflexive notes. Simple explanations: TF-IDF finds important words; topic models group themes; XLM-R is a multilingual neural model that learns language patterns.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August 2024 interview transcripts (seed); (B) new field interviews (N=30–50 life histories); (C) community survey responses (N≥150) with pre/post and 3–6 month follow-ups; (D) event attendance logs. Baselines: (1) manual coding only (human-coded outcomes); (2) off-the-shelf XLM-R classifier without fine-tuning; (3) lexicon-based sentiment classifier. Models: fine-tuned XLM-R and fine-tuned mBERT augmented with dialect lexicons and code-switch flags. Evaluation metrics: Cohen's kappa for inter-annotator agreement (target reporting), F1 score, precision, recall for ML labels, Pearson correlation between affect intensity and survey changes, regression coefficient significance (p-values) and effect sizes (standardized betas), retention rate for follow-up. Setup: Build gold corpus of ~1,000 annotated segments sampled across ages, dialects, languages. Train models with 5-fold cross-validation and final held-out test set (20% of gold). Compare baselines vs fine-tuned models on F1. Ablation study 1: remove code-switch flag feature and compare F1. Ablation study 2: remove dialect lexicon augmentation and compare F1. Outcome tests: run mixed-effects regression predicting change in German use frequency from (a) binary archive participation, (b) summed affect intensity scores, controlling for age, gender, baseline proficiency; report coefficient, 95% CI, and p-value. Report power for main test assuming N=150 and effect sizes tested. Report attrition and perform sensitivity analysis with lost-to-follow-up scenarios.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Limited population size may reduce statistical power and prevent subgroup analyses. Response and selection bias from volunteers and archive visitors. Translation and back-translation may miss dialectal nuance leading to annotation errors. Code-switching and rare dialect forms can cause systematic ML errors and lower F1. Interrater reliability may fall below targets, limiting gold-corpus quality. GDPR and Polish legal constraints may restrict data sharing and retention policies. Attrition at 3–6 month follow-ups may bias longitudinal results. Compute/resource limits for fine-tuning large multilingual models may constrain experiments. Results may not generalize beyond this specific German minority community or other minority archives. Risk of re-identification from qualitative material even after pseudonymization.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