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impact_ivc_tactics</w:t>
      </w:r>
    </w:p>
    <w:p>
      <w:r>
        <w:t xml:space="preserve"> </w:t>
      </w:r>
    </w:p>
    <w:p>
      <w:pPr>
        <w:pStyle w:val="Heading2"/>
      </w:pPr>
      <w:r>
        <w:t>Title</w:t>
      </w:r>
    </w:p>
    <w:p>
      <w:r>
        <w:t>Explanatory sequential mixed-methods analysis of how impact venture capitalists' tactical management of impact definitions affects market entry, founder access, and fundraising outcomes</w:t>
      </w:r>
    </w:p>
    <w:p>
      <w:r>
        <w:t xml:space="preserve"> </w:t>
      </w:r>
    </w:p>
    <w:p>
      <w:pPr>
        <w:pStyle w:val="Heading2"/>
      </w:pPr>
      <w:r>
        <w:t>Short Hypothesis</w:t>
      </w:r>
    </w:p>
    <w:p>
      <w:r>
        <w:t>Use of re-signification and selective-disclosure tactics by an impact venture capital fund causally reduces time-to-close and increases oversubscription relative to otherwise similar funds that do not use these tactics.</w:t>
      </w:r>
    </w:p>
    <w:p>
      <w:r>
        <w:t xml:space="preserve"> </w:t>
      </w:r>
    </w:p>
    <w:p>
      <w:pPr>
        <w:pStyle w:val="Heading2"/>
      </w:pPr>
      <w:r>
        <w:t>Related Work</w:t>
      </w:r>
    </w:p>
    <w:p>
      <w:r>
        <w:t>Prior work on impact investing documents tension between financial returns and social/environmental goals and highlights ambiguity in the definition and measurement of "impact." Quantitative studies often rely on coarse, self-reported impact metrics and cross-sectional comparisons, limiting causal claims. Qualitative studies document adaptive language and signaling by investors but typically lack systematic mapping to measurable outcomes. Existing computational approaches use keyword or topic models to detect ESG language but perform poorly across document genres (pitch decks, LP memos, interviews) and over time because they do not model temporal semantic drift. Causal identification in prior literature often relies on observational association or weak instruments and rarely leverages quasi-experimental timing of regulatory or LP-policy shocks. Privacy and ethical treatment of sensitive fund and founder data are also under-addressed. Key limitations: weak construct validity for "impact" signals, domain shift for NLP models, insufficient triangulation across actors (IVCs, LPs, founders), and limited robustness checks for endogeneity.</w:t>
      </w:r>
    </w:p>
    <w:p>
      <w:r>
        <w:t xml:space="preserve"> </w:t>
      </w:r>
    </w:p>
    <w:p>
      <w:pPr>
        <w:pStyle w:val="Heading2"/>
      </w:pPr>
      <w:r>
        <w:t>Abstract</w:t>
      </w:r>
    </w:p>
    <w:p>
      <w:r>
        <w:t>Impact venture capitalists (IVCs) operate in an ambiguous field where "impact" meanings are contested and strategically mobilized. This project studies how everyday tactical practices—such as re-signification of language and selective disclosure—affect measurable outcomes: market entry, founder access, and fundraising. We use an explanatory sequential mixed-methods design. Intensive qualitative fieldwork with purposively sampled IVCs produces a taxonomy of tactics and annotated exemplars. These codes map to quantitative variables used in panel causal models and to training data for an NLP classifier that detects tactic occurrences and intensity across document types. Causal leverage comes from quasi-exogenous timing of LP ESG policy adoptions and regulatory rollouts exploited in difference-in-differences and event-study designs. Main contributions: (1) a theory-grounded tactic taxonomy operationalized for measurement; (2) an NLP pipeline for cross-genre detection of tactic occurrence and intensity; and (3) causal estimates linking tactics to fundraising and market outcomes. Expected outcome: reproducible measures and evidence clarifying how tactical ambiguity translates into resource access and ethical trade-offs.</w:t>
      </w:r>
    </w:p>
    <w:p>
      <w:r>
        <w:t xml:space="preserve"> </w:t>
      </w:r>
    </w:p>
    <w:p>
      <w:pPr>
        <w:pStyle w:val="Heading2"/>
      </w:pPr>
      <w:r>
        <w:t>Methodology</w:t>
      </w:r>
    </w:p>
    <w:p>
      <w:r>
        <w:t>1) Theory and codebook: Use de Certeau's notion of "tactics" to define codebook families (re-signification, selective disclosure, bricolage, concealment, mission-alignment signaling, governance covenant tactics). Provide inclusion/exclusion rules and 20 exemplars per code. 2) Fieldwork and annotation: Purposively sample 12–15 IVCs for full study; start with a 3-IVC pilot (pitch decks, LP memos, term sheets, one observed meeting each). Dual independent coding of text units; compute Cohen's kappa (a measure of coder agreement; value 0–1, higher is better). Adjudicate disagreements in structured adjudication logs. 3) Tactic-to-variable mapping: Convert codes to (a) binary occurrence, (b) intensity metrics (frequency counts, token-based intensity, normalized document-level scores), and (c) rolling fund-quarter frequencies. 4) NLP pipeline: Build a gold annotated corpus (~1,000 labeled text units) stratified by document type and lifecycle stage. Train transformer-based temporal embeddings (temporal-BERT: a language model adjusted for time) to capture semantic drift. Use active learning: label initial batch → train model → sample uncertain instances for more labels. Evaluate with precision, recall, F1. 5) Data linkage: Create fund-quarter panel linking PitchBook/Crunchbase/Preqin records, public filings, and annotated documents. Use hierarchical fuzzy matching for identifiers. 6) Causal inference: Pre-register DiD/event-study specifications exploiting timings of LP ESG policy adoptions and regulatory rollouts; include fund fixed effects, time fixed effects, and covariates. Complement with propensity-score matching and IV tests (regional policy timing) as sensitivity checks. 7) Power and pre-analysis: Run power/sensitivity simulations (clusters, ICCs, effect sizes) to set scaling thresholds. 8) Ethics and data governance: Obtain IRB, use NDAs and consent, de-identify data, and prepare synthetic releases. Define Impact Review Board to vet high-risk cases. Definitions of technical terms: - Difference-in-differences (DiD): compares before/after changes between treated and control groups. - Temporal embeddings: text representations that model language changes over time. - Active learning: iterative labeling guided by model uncertainty.</w:t>
      </w:r>
    </w:p>
    <w:p>
      <w:r>
        <w:t xml:space="preserve"> </w:t>
      </w:r>
    </w:p>
    <w:p>
      <w:pPr>
        <w:pStyle w:val="Heading2"/>
      </w:pPr>
      <w:r>
        <w:t>Experiments</w:t>
      </w:r>
    </w:p>
    <w:p>
      <w:r>
        <w:t>Datasets: 1) Pilot annotated corpus: ~400 initial labeled units from 3 IVCs (pitch decks, LP memos, term transcripts). 2) Gold corpus: stratified ~1,000 labeled units across 12–15 IVCs. 3) Linked panel: fund-quarter data from PitchBook/Crunchbase/Preqin, public filings (SFDR/SEC), and annotated documents; regulatory shock dates (SFDR rollout dates, major LP ESG adoption announcements). Baselines: A) keyword-based classifier (lexicon of impact terms); B) bag-of-words + logistic regression; C) static BERT classifier (no temporal adaptation). Proposed models: temporal-BERT with active learning; multi-label classifier for overlapping tactics. Train/test: 70/30 stratified split by document type; 5-fold cross-validation on training set. Evaluation metrics: classification — precision, recall, F1, Cohen's kappa for human-model agreement; causal — estimated average treatment effect on treated (ATT) with robust standard errors, event-study coefficients, pre-trend p-values, placebo window p-values, and Rosenbaum sensitivity bounds. Experimental setups: 1) NLP ablation: compare temporal-BERT vs static BERT vs bag-of-words vs keyword baseline; report F1 and confusion matrices per document type. 2) Active learning ablation: model trained on initial 400 labels vs model trained with active learning to 1,000 labels; report marginal F1 gain and labeling efficiency. 3) Aggregation ablation: use binary occurrence vs intensity metrics vs token-frequency normalized scores as treatment variables in causal models; compare ATT estimates. 4) Causal identification comparisons: DiD with fund fixed effects; DiD without fixed effects; DiD + propensity-score matched controls; IV using regional LP-policy timing; synthetic-control for single treated fund; report coefficient, 95% CI, pre-trend tests, and placebo tests. Power analysis: run simulations for clusters={12,30,50}, ICC={0.05,0.1,0.2}, effect sizes d={0.2,0.3,0.4} to determine minimum fund×quarter sample needed. Reproducibility: provide Dockerized training pipelines, codebook v1, and pre-registered analysis plan.</w:t>
      </w:r>
    </w:p>
    <w:p>
      <w:r>
        <w:t xml:space="preserve"> </w:t>
      </w:r>
    </w:p>
    <w:p>
      <w:pPr>
        <w:pStyle w:val="Heading2"/>
      </w:pPr>
      <w:r>
        <w:t>Risk Factors And Limitations</w:t>
      </w:r>
    </w:p>
    <w:p>
      <w:r>
        <w:t>1) External validity: Pilot-depth sampling may not generalize to the whole IVC population; scaling thresholds required to make causal claims. 2) Measurement error: Coding ambiguity and domain shift across document genres may misclassify tactics; binary thresholds can truncate nuance. 3) NLP generalization: Temporal and cross-genre distribution shift can reduce classifier performance when applied out-of-domain. 4) Endogeneity: Policy or LP-adoption timing may be endogenous to market conditions, threatening causal identification. 5) Data missingness: Outcome variables (oversubscription, valuations) may be censored or unavailable for private funds. 6) Privacy risks: Re-identification from linked records or insufficiently synthetic releases could disclose sensitive information. 7) Resource limits: Human labeling and adjudication are time-consuming and may constrain corpus size; compute limits for large transformer training. 8) Ethical constraints: Some field access may be denied, creating selection bias toward more transparent funds. 9) Scalability: Matching and manual adjudication steps may not scale linearly as sample increases. 10) Legal/jurisdictional constraints: GDPR and other laws may restrict data collection and sharing across regions.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