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consumption_populism_model</w:t>
      </w:r>
    </w:p>
    <w:p>
      <w:r>
        <w:t xml:space="preserve"> </w:t>
      </w:r>
    </w:p>
    <w:p>
      <w:pPr>
        <w:pStyle w:val="Heading2"/>
      </w:pPr>
      <w:r>
        <w:t>Title</w:t>
      </w:r>
    </w:p>
    <w:p>
      <w:r>
        <w:t>A multimodal causal study of how business‑leader populist framing shapes consumer choices</w:t>
      </w:r>
    </w:p>
    <w:p>
      <w:r>
        <w:t xml:space="preserve"> </w:t>
      </w:r>
    </w:p>
    <w:p>
      <w:pPr>
        <w:pStyle w:val="Heading2"/>
      </w:pPr>
      <w:r>
        <w:t>Short Hypothesis</w:t>
      </w:r>
    </w:p>
    <w:p>
      <w:r>
        <w:t>Exposure to business‑leader populist framing increases short‑term purchase likelihood of framed products by elevating affective responses, with affect mediating at least part of the framing effect.</w:t>
      </w:r>
    </w:p>
    <w:p>
      <w:r>
        <w:t xml:space="preserve"> </w:t>
      </w:r>
    </w:p>
    <w:p>
      <w:pPr>
        <w:pStyle w:val="Heading2"/>
      </w:pPr>
      <w:r>
        <w:t>Related Work</w:t>
      </w:r>
    </w:p>
    <w:p>
      <w:r>
        <w:t>Prior work includes discourse and political theory on populism, studies of brand nationalism and moralized consumption, affect and emotion research in persuasion, and computational media analyses of political framing and diffusion. Existing approaches either (a) analyze populist rhetoric without linking it to market outcomes, (b) study marketing that centers national identity but lacks antagonistic enemy construction, (c) model affect in generic persuasion but not in leader‑driven consumption campaigns, or (d) apply classifiers to single modalities or languages without rigorous cross‑lingual validation. Limitations across these lines are (1) weak operationalization of stages like otherization/homogenization/hegemony into measurable indices, (2) limited multimodal (text+image+audio) affect mediation tests, (3) few studies with pre‑registered causal identification (mediation or quasi‑experimental designs), and (4) scant treatment of closed‑platform data and legal/ethical constraints.</w:t>
      </w:r>
    </w:p>
    <w:p>
      <w:r>
        <w:t xml:space="preserve"> </w:t>
      </w:r>
    </w:p>
    <w:p>
      <w:pPr>
        <w:pStyle w:val="Heading2"/>
      </w:pPr>
      <w:r>
        <w:t>Abstract</w:t>
      </w:r>
    </w:p>
    <w:p>
      <w:r>
        <w:t>This study introduces and tests a multimodal, causal model of "consumption populism": the process by which business leaders use populist logic and affective practices to construct "the people" and shape consumption. We map the three theoretical stages—otherization, homogenization, hegemony—onto explicit textual, visual, and audio indicators, and create validated multimodal indices. Empirically, we combine hand‑annotated corpora of speeches, ads, social media (public and consented closed groups), spectacle events, and transaction data (scanner and e‑commerce) to test causal pathways. Identification uses randomized encouragement exposures and quasi‑experimental shocks (regional procurement rules, high‑profile product launches) with mediation analysis to quantify affect as a mediator. Main contributions are (1) a reproducible multimodal codebook linking theory to measures, (2) pre‑registered causal tests of affective mediation, and (3) quantified thresholds for institutionalization of consumption populism. Expected outcomes are clearer measurement tools and causal evidence on how leader framing and affect change consumer behavior and market outcomes.</w:t>
      </w:r>
    </w:p>
    <w:p>
      <w:r>
        <w:t xml:space="preserve"> </w:t>
      </w:r>
    </w:p>
    <w:p>
      <w:pPr>
        <w:pStyle w:val="Heading2"/>
      </w:pPr>
      <w:r>
        <w:t>Methodology</w:t>
      </w:r>
    </w:p>
    <w:p>
      <w:r>
        <w:t>1) Define indicators: translate otherization, homogenization, hegemony into specific markers (lexical tokens, pronouns, enemy labels; visual motifs, national colors; institutional badges). 2) Build multimodal corpus: collect text (speeches, ads, posts), images (ads, logos), audio/video (speeches, launches), and transaction data (scanner, e‑commerce, procurement). 3) Annotate and validate: hand‑annotate 300–500 multimodal items across languages with intensity scales (1–5) for affect and stage tags; double‑code 20% to measure intercoder reliability. 4) Create indices: combine annotated features into latent variables using confirmatory factor analysis (CFA) or item response models; produce standardized scores. 5) Train classifiers: extract features (n‑grams, embeddings, visual CNN features, audio prosody), then train multimodal classifiers (late fusion or transformer multimodal models) with cross‑validation and human‑in‑the‑loop adjudication. 6) Causal design: implement randomized encouragement experiments (expose subsamples to framed ads) and exploit quasi‑experiments (policy procurement changes, product launch timing) for difference‑in‑differences and synthetic control. 7) Mediation analysis: estimate ITT, ACME/ADE using mediation models and structural equation models (SEM); report confidence intervals and sensitivity analyses for mediator–outcome confounding. 8) Pre‑register: exact estimands, models, covariates, clustering, multiple testing corrections, and decision rules for hegemony thresholds before analysis.</w:t>
      </w:r>
    </w:p>
    <w:p>
      <w:r>
        <w:t xml:space="preserve"> </w:t>
      </w:r>
    </w:p>
    <w:p>
      <w:pPr>
        <w:pStyle w:val="Heading2"/>
      </w:pPr>
      <w:r>
        <w:t>Experiments</w:t>
      </w:r>
    </w:p>
    <w:p>
      <w:r>
        <w:t>Datasets: (A) Multimodal corpus: 5,000 items (text, images, audio) sampled from leader speeches, ads, YouTube, public social media and consented closed groups in Hindi and English; (B) Transaction data: weekly SKU‑level sales from scanner panels and one e‑commerce partner for 24 months; (C) Procurement data: public procurement records for 24 months. Baselines: (1) sentiment classifier baseline (text only), (2) brand‑nationalism detector (lexicon rule set), (3) multimodal classifier without affect features. Metrics: classifier precision/recall/F1 per language and modality; intercoder reliability (Cohen's kappa, Krippendorff's alpha); causal effect estimates: ITT, ACME, ADE, CACE with 95% CIs; market outcomes: change in market share (percentage points), relative sales growth (%), procurement value (currency). Setup: annotate 300 annotated items per language, double‑code 20%; train classifiers with stratified 5‑fold cross‑validation; require F1 ≥ 0.75 before scaling. Causal tests: (i) randomized encouragement experiment with n=400 per arm to detect d≈0.3 (80% power) on purchase intent; (ii) DiD analysis comparing treated vs control regions around procurement policy change with synthetic control robustness; (iii) mediation SEM estimating ACME with bootstrap CIs and Imai sensitivity bounds. Ablations: remove affect features from classifiers; remove visual/audio channels; compare mediation estimates using observed affect scores versus latent affect factor. Evaluation reports confusion matrices per language and modality, and pre‑registered robustness checks (placebo outcomes, leads, spatial spillover tests).</w:t>
      </w:r>
    </w:p>
    <w:p>
      <w:r>
        <w:t xml:space="preserve"> </w:t>
      </w:r>
    </w:p>
    <w:p>
      <w:pPr>
        <w:pStyle w:val="Heading2"/>
      </w:pPr>
      <w:r>
        <w:t>Risk Factors And Limitations</w:t>
      </w:r>
    </w:p>
    <w:p>
      <w:r>
        <w:t>1) Mediator identification: mediation estimates rely on assumptions (no unmeasured mediator–outcome confounders); violations bias ACME/ADE. 2) Measurement error: affect and stage coding may be noisy, especially across languages and code‑mixing; classifier errors can bias downstream causal inference. 3) Data access: scanner, e‑commerce, and closed‑platform data may be unavailable or restricted for legal/ToS reasons. 4) Ethical/legal risk: consent and privacy constraints limit closed‑group data and may reduce representativeness. 5) Spillovers/interference: regional or network spillovers can violate SUTVA and complicate DiD or randomized estimates. 6) Generalization: findings from one socio‑political context may not transfer to other countries or sectors. 7) Computational limits: multimodal models and large transactional joins require substantial compute and secure enclaves. 8) Harm to participants/vendors: publicizing targeted producers or groups can create reputational or economic risks for vulnerable actors.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