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ai_assessment_authorship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calibrated process-feature detection and authentic-assessment evaluation for undisclosed AI use in online higher-education assessments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calibrated process-feature analytics together with authentic, data-based assessment tasks and clear guidance increases voluntary student disclosure of AI assistance compared to a detection-focused approach.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addressing AI assistance in student work fall into two categories: detection-focused analytics and pedagogical/assessment redesign. Detection-focused analytics use stylometry, content classifiers, watermark signals, or process telemetry (keystrokes, revision logs) to flag likely AI involvement; these methods show sensitivity to model artifacts but suffer from high false-positive rates, language and genre bias, and vulnerability to human post-editing and adversarial obfuscation. Watermarking and API markers can reliably identify some generated text but require third-party cooperation and do not cover human-edited outputs. Assessment redesign and academic-integrity guidance emphasize AI literacy and authentic tasks that reduce incentives for concealment, but prior work lacks rigorous causal evaluation and operational ground truth. Limitations across methods include weak ground-truth standards, insufficient cross-language validation, privacy/legal gaps when collecting telemetry, and scarcity of robust adversarial testing.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students use and hide generative AI in online higher-education assessments and test whether combining calibrated process-feature analytics with authentic, data-based assessment designs increases voluntary disclosure of AI assistance. We propose a mixed-methods approach: build a labeled calibration corpus of student-authored, lightly assisted, heavily assisted, and fully AI-generated submissions across genres and languages; extract interpretable process and text features (revision deltas, pause timing, copy-paste events, syntactic and semantic drift); and design authentic tasks with explicit AI-disclosure rubrics. We will evaluate analytic classifiers, dual-threshold decision rules, and a cluster-randomized trial comparing authentic-task interventions plus guidance against detection-focused controls. The main contribution is a reproducible, privacy-aware protocol that links validated ground truth to pedagogy, producing calibrated performance estimates, cross-language checks, and concrete assessment templates. Expected outcomes include defensible sensitivity/specificity estimates, evidence on disclosure causal effects, and practical task designs that reduce undisclosed AI use while preserving academic integrity.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Calibration corpus: recruit volunteer students and trained confederates to produce 400–800 labeled submissions across 4–6 prompts, genres (essay, literature review, reflection), and language groups (L1,L2). For each prompt create four archetypes: student-authored, lightly AI-assisted (&lt;30% substantive AI), heavily AI-assisted (&gt;=30% substantive AI), and fully AI-generated. Collect paired artifacts: draft versions, timestamps, revision diffs, and scripted oral-defense responses. 2. Feature extraction: extract process features (revision counts, revision deltas, pause/resume durations, keystroke burstiness, copy-paste events, API markers when available, timestamped citation insertion) and text features (mean sentence length, parse-tree depth, type-token ratio, embedding-based semantic drift). Explain technical terms: keystroke burstiness = short periods of rapid typing; embedding drift = change in meaning vectors across drafts measured by cosine distance. 3. Preprocessing: remove boilerplate, length-normalize documents, z-score features within genre-language strata, winsorize extreme values, and compute within-document deltas (post - pre). 4. Annotation and adjudication: use bilingual blinded annotators with an adjudication rubric that operationalizes 'substantive content' (new ideas, structure, argumentation) vs surface edits (word choice, grammar). Double-code items and target inter-rater kappa &gt; 0.7. 5. Model training: train interpretable classifiers (logistic regression, random forest with feature importance) on calibration data; include anomaly detectors for adversarial samples. Implement dual-threshold decision rules: high threshold for human review, low threshold for pedagogical prompts. 6. Authentic tasks: develop three task prototypes with rubrics requiring process logs and reflective AI disclosure. 7. Governance: implement tiered consent, DPIA, pseudonymization, and a legally documented non-punitive data firewall. 8. Pre-registration and sharing: preregister SAP and share feature-extraction code and synthetic datasets with controlled access.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1. Calibration evaluation dataset: 400–800 labeled artifacts stratified by genre and language; reserve 15% adversarial holdout (red-team samples with post-editing and style masking). 2. Classifier baselines: (A) content-only classifier (text embeddings + classifier), (B) stylometric classifier (sentence length, parse metrics), (C) process-only classifier (revision and telemetry features), (D) combined classifier (text + process). 3. Metrics: primary—sensitivity, specificity, positive predictive value (PPV); secondary—AUC-ROC, precision-recall AUC, Brier score (calibration), decision-curve analysis, stratified fairness metrics by L1/L2 and genre. 4. Ablation studies: (i) remove process features to measure impact of telemetry; (ii) remove semantic-drift features; (iii) test effect of winsorization vs no winsorization; (iv) vary dual-threshold levels and report PPV at low prevalence (1%, 5%, 10%). 5. Pilot RCT: multisite pilot with 20 courses (~800 students) to estimate ICCs and baseline disclosure. 6. Definitive cluster RCT: randomize ~60 courses (30 intervention, 30 control), 30–50 students per course (n≈1,800–3,000). Intervention: authentic tasks + clear guidance + analytic pedagogical prompts; Control: detection-focused messaging and conventional tasks. Primary outcome: voluntary disclosure rate measured per assignment. Secondary outcomes: change in flagged AI-use prevalence, student learning scores, and false-positive audit rate. 7. Cross-language validation: run multi-group confirmatory factor analysis (CFA), item response theory (IRT) and differential item functioning (DIF) tests on key features and annotation scales; report parameter differences and invariance tests. 8. Reproducibility: publish simulation seeds and code for power calculations and classifier training pipelines in the preregistration.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Ground-truth validity risks: confederate/artificial samples may not match natural student behavior, creating circularity. 2. Missing or uneven logs: mobile editing, offline work, or LMS limitations may produce missing process features, reducing classifier power. 3. Adversarial evasion: human post-editing and style-transfer tools can defeat classifiers and watermarking. 4. False positives: classifiers may incorrectly flag non-AI work, producing reputational harm in applied settings. 5. Cross-language bias: features and models may perform worse for L2 writers and different genres, limiting fairness. 6. Legal/regulatory constraints: GDPR, FERPA, and vendor DPA requirements may restrict data collection in some jurisdictions. 7. Participation bias: volunteers may differ from non-participants, limiting generalizability. 8. Scalability and cost: large storage, compute for embeddings and models, and human labeling costs may limit deployment. 9. Limited external validity: results from selected institutions, languages, or disciplines may not generalize to other contexts. 10. Ethical harms: logs and oral defenses may increase student anxiety and chilling effects on help-seeking.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