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swedish_ssh_ethics_review_perspectives</w:t>
      </w:r>
    </w:p>
    <w:p>
      <w:r>
        <w:t xml:space="preserve"> </w:t>
      </w:r>
    </w:p>
    <w:p>
      <w:pPr>
        <w:pStyle w:val="Heading2"/>
      </w:pPr>
      <w:r>
        <w:t>Title</w:t>
      </w:r>
    </w:p>
    <w:p>
      <w:r>
        <w:t>Semi-structured group interviews and reflexive thematic analysis of Swedish social science and humanities researchers' experiences with the ethical review system</w:t>
      </w:r>
    </w:p>
    <w:p>
      <w:r>
        <w:t xml:space="preserve"> </w:t>
      </w:r>
    </w:p>
    <w:p>
      <w:pPr>
        <w:pStyle w:val="Heading2"/>
      </w:pPr>
      <w:r>
        <w:t>Short Hypothesis</w:t>
      </w:r>
    </w:p>
    <w:p>
      <w:r>
        <w:t>Introducing an expedited, tiered REC pathway together with SSH-specific advisory templates and decision templates for qualifying low-risk social science and humanities projects causes a ≥30% reduction in median REC decision time compared with the current standard review process.</w:t>
      </w:r>
    </w:p>
    <w:p>
      <w:r>
        <w:t xml:space="preserve"> </w:t>
      </w:r>
    </w:p>
    <w:p>
      <w:pPr>
        <w:pStyle w:val="Heading2"/>
      </w:pPr>
      <w:r>
        <w:t>Related Work</w:t>
      </w:r>
    </w:p>
    <w:p>
      <w:r>
        <w:t>Prior work documents that social science and humanities (SSH) researchers view ethical review as simultaneously necessary and burdensome and proposes reforms such as tiered review, advisory panels, standardized forms, and digital privacy guidance. Existing empirical studies often rely on single-discipline surveys, anecdotal evidence, or descriptive interviews lacking operational pilots and measurable outcome data. Administrative reform proposals emphasize reduced paperwork and clearer guidance but rarely test effects on REC decision times or procedural fairness. Legal analyses clarify GDPR and national secrecy constraints but seldom integrate empirical researcher perspectives. Limitations in current approaches include weak evaluation of reform impact, limited cross-disciplinary sampling within SSH, scarce use of validated qualitative procedures tied to policy mapping, and inadequate anonymization protocols for small academic communities.</w:t>
      </w:r>
    </w:p>
    <w:p>
      <w:r>
        <w:t xml:space="preserve"> </w:t>
      </w:r>
    </w:p>
    <w:p>
      <w:pPr>
        <w:pStyle w:val="Heading2"/>
      </w:pPr>
      <w:r>
        <w:t>Abstract</w:t>
      </w:r>
    </w:p>
    <w:p>
      <w:r>
        <w:t>We investigate how the Swedish ethical review system is experienced by social science and humanities researchers and test whether targeted administrative reforms can measurably improve review timeliness and perceived fairness. Using semi-structured group interviews with Swedish SSH researchers and reflexive thematic analysis, we identify practical friction points, candidate reform options, and legal constraints. We pilot an operational package—an expedited tiered review pathway, SSH advisory templates, and standardized decision letters—at selected REC sites and measure effects on median decision time, stakeholder acceptance, and perceived procedural fairness. The main contribution is a combined qualitative-to-policy mapping pipeline that links themes from researcher narratives to legally-feasible reform pilots and empirical outcome measures. Expected outcomes are (a) prioritized, implementable pilot reforms tailored to SSH practice, (b) measured changes in REC timeliness and stakeholder perceptions, and (c) reproducible anonymization and quote-risk procedures suitable for small academic communities. Results aim to guide evidence-based administrative reforms for ethical review systems serving SSH research.</w:t>
      </w:r>
    </w:p>
    <w:p>
      <w:r>
        <w:t xml:space="preserve"> </w:t>
      </w:r>
    </w:p>
    <w:p>
      <w:pPr>
        <w:pStyle w:val="Heading2"/>
      </w:pPr>
      <w:r>
        <w:t>Methodology</w:t>
      </w:r>
    </w:p>
    <w:p>
      <w:r>
        <w:t>1) Recruitment and data collection: recruit 20–24 Swedish SSH researchers across history, linguistics, sociology, anthropology, philosophy, cultural studies and interdisciplinary SSH; run 7–8 semi-structured group interviews of 3–4 participants each, separated by career stage to reduce power imbalance. Use vignettes to prompt discussion and a neutral external facilitator. 2) Transcription and anonymization: transcribe audio verbatim; apply a rule-based anonymization algorithm that redacts direct identifiers (names, project titles), bins or removes dates (e.g., replace 'January 2020' with 'early 2020'), generalizes unique roles (e.g., 'senior professor, large university'), and replaces rare location or event details with category labels; log redactions in a secure redaction log. 3) Reflexive thematic analysis: apply Braun &amp; Clarke six-phase reflexive TA: familiarization, open coding, theme development, theme review, define/name themes, produce report. A codebook skeleton will capture codes and policy-related codes; memoing records interpretive decisions. (Reflexive TA: a qualitative method that foregrounds researchers' interpretation and iterative theme development.) 4) Calibration and reliability: double-code a calibration subset (≈25–30%) as a convergence check; record agreement and write disagreement memos rather than using kappa as sole quality gate. 5) Policy mapping: create a codes-to-policy matrix mapping each theme to problem statement, candidate reforms, legal feasibility (administrative vs statutory), resource estimate, and stakeholder acceptability score. 6) Pilot design and legal review: draft pilot procedures (expedited pathway, templates) and submit to the Legal Specialist to confirm GDPR and Offentlighets- och sekretesslagen compliance. 7) Stakeholder workshop and finalization: present prioritized pilots to REC chairs, funders, and researchers; collect acceptability ratings and finalize pilot package. 8) Documentation and audit trail: store transcripts, code versions, memos, and redaction logs on secure Swedish servers with role-based access; export code lists and memos in CSV for reproducibility.</w:t>
      </w:r>
    </w:p>
    <w:p>
      <w:r>
        <w:t xml:space="preserve"> </w:t>
      </w:r>
    </w:p>
    <w:p>
      <w:pPr>
        <w:pStyle w:val="Heading2"/>
      </w:pPr>
      <w:r>
        <w:t>Experiments</w:t>
      </w:r>
    </w:p>
    <w:p>
      <w:r>
        <w:t>Datasets: (1) EPM decision logs: 12 months pre-pilot median REC decision times and per-case metadata (anonymized); (2) Pilot REC logs: decision times and outcomes during pilot period at intervention RECs; (3) Group interview transcripts: 7–8 sessions (20–24 participants) and workshop survey results. Baselines: current standard REC pathway performance (EPM logs) and matched control RECs not piloting reforms. Experimental setup: deploy pilot package at 4 intervention REC sites for 3 months; select 4 matched control RECs by caseload and case-mix. Randomize pilot start dates to allow interrupted time series (ITS). Ablation arms at intervention sites: A) expedited tiered pathway only; B) expedited pathway + SSH advisory templates; C) expedited pathway + standardized decision letters; each arm runs at one REC (one-arm-per-site) to allow component comparisons. Evaluation metrics: primary—median decision time (days) per qualifying SSH application; secondary—proportion of decisions meeting target SLA, stakeholder acceptance (%) from workshop survey, change in perceived procedural fairness (mean difference on 5-point Likert), and process fidelity measures (proportion of cases routed through expedited pathway). Statistical analyses: ITS and difference-in-differences (DiD) comparing intervention vs controls, Mann-Whitney U test for median comparisons, bootstrap 95% confidence intervals for median change, and chi-square tests for proportions. Coding reliability check: report percent agreement and disagreement memos on double-coded transcripts. Ablation comparison: estimate per-arm median decision times and test pairwise differences (Wilcoxon rank-sum) to assess incremental effect of templates and letters. Power/precision: use bootstrap simulations on pre-pilot EPM logs to estimate detectable median reduction with 80% power at alpha=0.05; report detectable effect size per REC if baseline variance is high. Reproducibility: export anonymized datasets, code lists, and analysis scripts in CSV and R/Python notebooks.</w:t>
      </w:r>
    </w:p>
    <w:p>
      <w:r>
        <w:t xml:space="preserve"> </w:t>
      </w:r>
    </w:p>
    <w:p>
      <w:pPr>
        <w:pStyle w:val="Heading2"/>
      </w:pPr>
      <w:r>
        <w:t>Risk Factors And Limitations</w:t>
      </w:r>
    </w:p>
    <w:p>
      <w:r>
        <w:t>Legal and data access risks: EPM may decline to share detailed decision logs or impose restrictive DSAs, reducing ability to measure baseline and pilot effects. Sample and generalizability limits: small pilot count of RECs and limited geographic coverage may reduce external validity. Confidentiality and re-identification risk: small academic communities increase chance that quotes or details could identify participants despite redaction. Methodological tension: reflexive thematic analysis emphasizes interpretation and is not suited to formal inter-rater reliability metrics; calibration checks may not fully quantify subjectivity. Attribution limits: concurrent EPM workload changes or policy shifts may confound causal attribution of decision time changes. Scalability and resource limits: pilots require REC cooperation, staff time, and modest budget; resource constraints may limit full implementation. Measurement bias: self-reported perceived fairness may be affected by social desirability. Technical limitations: transcription errors or inconsistent redaction may affect qualitative coding. Timeline risks: legal reviews and stakeholder approvals can delay pilot start and reduce observation window for ITS or DiD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