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scat_rec_comments_japan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SCAT qualitative analysis of ethics-committee review comments to characterize ethical review practices for non-medical research in Japan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Proposals whose REC review comments are coded predominantly as procedural concerns will show a lower proportion of substantive participant-protection recommendations than proposals whose review comments are coded with a balanced mix of procedural and substantive concerns.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of research ethics committee (REC) practice focus mainly on medical/clinical reviews, audit-style compliance checks, or survey-based assessments of REC members. Qualitative methods for committee text have been applied sporadically but rarely use a structured SCAT pipeline or bilingual calibration. Work on anonymization and privacy for textual research outputs emphasizes k-anonymity and redaction but provides limited empirical justification of thresholds in small institutional corpora; differential privacy (DP) is applied mostly to numeric aggregates, not to qualitative-theme releases. Prior efforts lack: (a) systematic SCAT step mapping to a reproducible codebook for REC comments, (b) bilingual translation-variance measurement for Japanese-English reporting, (c) empirical risk assessments tying re-identification metrics to real quasi-identifier distributions in REC text, and (d) documented hybrid strategies combining k-anonymity, paraphrasing, and DP for public release.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non-medical research is reviewed by university ethics committees in Japan by applying the SCAT (Steps for Coding and Theorization) qualitative method to committee review comments. Using a stratified corpus of REC proposals and reviewer comments, we unitize each discrete comment, build a 26-code starter codebook, and run bilingual calibration to measure translation-induced variance. We quantify procedural versus substantive emphases, data-governance concerns, and policy-alignment patterns across disciplines and decision outcomes. The project produces empirically justified anonymization rules (k-anonymity and l-diversity thresholds), a prototype differential-privacy plan for aggregated outputs, and practical artifacts (plain-language participant summaries and REC checklists). Main contributions are: a reproducible SCAT pipeline for REC text, measured translation fidelity for bilingual reporting, and a hybrid privacy-release strategy informed by empirical re-identification risk and DP utility curves. Expected outcomes include clear evidence of review priorities in non-medical contexts and actionable recommendations to harmonize REC practice and reporting in Japan.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collection: obtain written permission and a Data Use Agreement from the university; ingest 100–150 proposals and associated REC comments (expected 600–1,200 comments). 2) Unitization: split text into single COMMENT units, link each to proposal ID and section; split multi-issue comments into sub-units with a short justification memo. 3) SCAT coding steps (SCAT = Steps for Coding and Theorization): (a) Noting — read each comment and highlight key phrases; (b) Paraphrase — write a short plain-Japanese paraphrase of the comment; (c) Conceptual label — assign one primary code from starter codebook (26 codes) and optional secondary codes with rationale; (d) Theorizing — write a short memo that connects labels to higher-level themes. 4) Bilingual calibration: prepare 15 worked examples; run double-coding on 30% of corpus with ≥3 bilingual coders; measure Cohen's kappa for categorical labels and Krippendorff’s alpha for multi-labels. (Cohen's kappa measures agreement between coders; Krippendorff’s alpha is a reliability measure for multiple coders or codes.) 5) Translation protocol: code from original Japanese; produce vetted English translations of exemplars with back-translation and a bilingual glossary of cultural terms. 6) Anonymization: automated NER (Japanese models) + human review to flag identifiers; generalize quasi-identifiers; require k-anonymity ≥5 and l-diversity ≥2 for public excerpts (k = size of smallest identical group; l-diversity = variety of sensitive values). 7) Differential privacy (DP) plan: identify aggregated outputs (counts, prevalence priors, cross-tabs); prototype DP mechanisms and generate utility curves for epsilons 0.1–5. 8) Saturation rule: stop sampling when three consecutive batches of 25 proposals add &lt;5% new codes. 9) Triangulation: member-checking interviews with 6–10 REC members and reflexivity memos every 50 comments. 10) Deliverables: final codebook, anonymization SOP, DP config sheet, and practical templates (participant summary, REC checklist).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Dataset: 100–150 proposals (≈600–1,200 comments), stratified by discipline (education, social sciences, humanities, engineering, business/other), year (3-year window), and REC outcome (approved, minor revision, major revision, rejected). Baselines: A) naive keyword classification (keyword lists for codes), B) single-coder SCAT (no double-coding), C) automated topic model (BERTopic) suggestions without SCAT codebook. Experimental runs: 1) Reliability test: double-code 30% of comments; compute Cohen's kappa per code and Krippendorff’s alpha overall. Success thresholds: kappa ≥0.70, alpha ≥0.80. 2) Translation-variance test: select N=150 exemplar comment-pairs; have two bilingual coders code Japanese originals and two monolingual coders code vetted English translations; compute percentage disagreement attributable to translation and Cohen’s kappa on Japanese-coded set. 3) Code saturation: sample in batches of 25 proposals and plot code-accumulation curve; apply stopping rule when three consecutive batches add &lt;5% new codes. 4) Anonymization evaluation: run automated NER + human review; compute distribution of equivalence class sizes for quasi-identifiers; report smallest k and proportion of records with k&lt;5. 5) DP utility study: for selected aggregated outputs (theme counts, discipline×outcome contingency tables, normalized prevalence priors) add Laplace or Gaussian noise with epsilons {0.1,0.25,0.5,1,2,5}. For each epsilon compute RMSE for counts, KL divergence for prevalence distributions, and bias in proportion estimates. 6) Comparative analyses: test hypothesis by computing proportion of substantive codes per proposal grouped by procedural-dominant vs balanced comment sets; use Kruskal-Wallis test and report effect sizes and 95% CIs. 7) Ablation studies: (a) remove bilingual calibration and recompute kappa/alpha; (b) vary k threshold for anonymization (k=3,5,10) and report fraction of publishable excerpts; (c) compare DP noise mechanisms (Laplace vs Gaussian) by utility metrics. Reproducibility: release synthetic dataset, codebook, and notebooks for all experiments.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Legal/ownership risk: REC comments may be legally owned by university or constitute private deliberations; institutional counsel may restrict access or public reporting. 2) Consent and reputational risk: quoted or paraphrased comments may identify authors, institutions, or reviewers indirectly; defamation or reputational harm is possible. 3) Small-corpus privacy limits: with ≈600–1,200 comments quasi-identifier distributions may be sparse, making k-anonymity costly and reducing publishable exemplars. 4) Translation bias: nuance lost in English translations may alter code assignment and theory-building. 5) Inter-coder variability: achieving high IRR may be difficult for subtle substantive codes, limiting reproducibility. 6) DP utility trade-off: low epsilon values (high privacy) can add large noise, degrading usability of small-count aggregates. 7) Sampling bias: corpus from one university may not generalize to other Japanese institutions. 8) Computational limits: DP prototyping and repeated resampling increase compute needs and complexity for reproducible runs. 9) Method scope: SCAT emphasizes interpretive theorizing; quantifying causal pathways from comments to reviewer behavior may remain indirect.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