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risk_homogeneity_systemic_risk</w:t>
      </w:r>
    </w:p>
    <w:p>
      <w:r>
        <w:t xml:space="preserve"> </w:t>
      </w:r>
    </w:p>
    <w:p>
      <w:pPr>
        <w:pStyle w:val="Heading2"/>
      </w:pPr>
      <w:r>
        <w:t>Title</w:t>
      </w:r>
    </w:p>
    <w:p>
      <w:r>
        <w:t>Using text-mined corporate risk-perception homogeneity to predict systemic financial risk via multilayer network contagion</w:t>
      </w:r>
    </w:p>
    <w:p>
      <w:r>
        <w:t xml:space="preserve"> </w:t>
      </w:r>
    </w:p>
    <w:p>
      <w:pPr>
        <w:pStyle w:val="Heading2"/>
      </w:pPr>
      <w:r>
        <w:t>Short Hypothesis</w:t>
      </w:r>
    </w:p>
    <w:p>
      <w:r>
        <w:t>Higher homogeneity of corporate risk perceptions within sectors causally increases systemic financial risk (measured by SRISK and CoVaR) after controlling for firm fundamentals and network exposures.</w:t>
      </w:r>
    </w:p>
    <w:p>
      <w:r>
        <w:t xml:space="preserve"> </w:t>
      </w:r>
    </w:p>
    <w:p>
      <w:pPr>
        <w:pStyle w:val="Heading2"/>
      </w:pPr>
      <w:r>
        <w:t>Related Work</w:t>
      </w:r>
    </w:p>
    <w:p>
      <w:r>
        <w:t>Prior work extracts corporate risk signals from disclosures using topic models and embeddings, measures linguistic similarity across firms, and links network exposures to systemic risk via contagion simulations. Limitations in existing approaches include: (1) heavy sensitivity to boilerplate and templated disclosure language that inflates apparent similarity; (2) narrow treatment of embedding uncertainty and measurement error in downstream inference; (3) reliance on a single dependence family (often Gaussian) that misses tail co-movements; (4) sparse or deterministic network reconstructions without probabilistic uncertainty bounds; and (5) weak causal identification strategies that do not fully defend exclusion restrictions or rule out reverse causality between market stress and disclosure language.</w:t>
      </w:r>
    </w:p>
    <w:p>
      <w:r>
        <w:t xml:space="preserve"> </w:t>
      </w:r>
    </w:p>
    <w:p>
      <w:pPr>
        <w:pStyle w:val="Heading2"/>
      </w:pPr>
      <w:r>
        <w:t>Abstract</w:t>
      </w:r>
    </w:p>
    <w:p>
      <w:r>
        <w:t>We study whether synchronized managerial risk language — measured from firms' risk-factor disclosures — amplifies systemic financial vulnerability. We extract sentence-level risk intensities using finance-tuned transformer embeddings, summarize within- and across-sector homogeneity, and map those measures into default probabilities and volatility. We then embed firm attributes into probabilistic multilayer network reconstructions and run contagion engines (Eisenberg–Noe and DebtRank) under multiple copula families to compute SRISK and CoVaR distributions. The main contribution is an end-to-end pipeline that (a) controls for boilerplate and embedding measurement error, (b) propagates model and network uncertainty into systemic-risk estimates, and (c) tests causal effects using exogenous disclosure events as instruments. Expected outcome: quantified marginal effect of perception homogeneity on systemic risk with confidence intervals that reflect text, model, and network uncertainty, enabling clearer policy-relevant interpretation of synchronized corporate narratives.</w:t>
      </w:r>
    </w:p>
    <w:p>
      <w:r>
        <w:t xml:space="preserve"> </w:t>
      </w:r>
    </w:p>
    <w:p>
      <w:pPr>
        <w:pStyle w:val="Heading2"/>
      </w:pPr>
      <w:r>
        <w:t>Methodology</w:t>
      </w:r>
    </w:p>
    <w:p>
      <w:r>
        <w:t>1) Text extraction: collect annual/quarterly filings (Risk Factors, MD&amp;A) and split into sentences. 2) Sentence scoring: compute FinBERT sentence embeddings (a transformer model tuned on finance text; transformer = deep model that maps text to vectors) and derive a sentence-level risk intensity via a small classifier/regressor calibrated on a gold corpus. 3) Boilerplate control: detect repeated/template text with lexicon filters, MinHash near-duplicate detection (a fast hashing method for similar text), and a supervised boilerplate classifier; exclude or downweight flagged sentences. 4) Aggregation: aggregate sentence intensities to firm-quarter TextScore and compute homogeneity metrics (pairwise cosine similarity, Jensen–Shannon divergence, topic entropy). Cosine similarity measures angle between vectors; Jensen–Shannon measures difference between probability topic distributions. 5) Embedding uncertainty: estimate embedding variance with model ensembles and Monte‑Carlo dropout (a simple method to approximate posterior variance) and produce multiple sampled TextScores. 6) Mapping to risk: estimate panel models mapping TextScore to PD (logit/probit and discrete-time hazard/survival models) and to log volatility, with firm and time fixed effects. 7) Dependence and networks: estimate pairwise copula correlations under Gaussian, Student-t, and vine families (copula = model of joint dependence) and reconstruct multilayer exposure networks using maximum-entropy ensembles to produce probabilistic adjacency matrices. 8) Contagion simulation: propagate sampled PDs and dependence draws through Eisenberg–Noe and DebtRank engines to compute SRISK/CoVaR distributions. 9) Uncertainty propagation: use nested bootstrap over documents, model choices, network draws, and SIMEX (for measurement-error correction) to obtain confidence intervals. 10) Causality checks: implement staggered DiD/event studies and IVs based on exogenous disclosure-rollout dates; report pre-trend and placebo diagnostics.</w:t>
      </w:r>
    </w:p>
    <w:p>
      <w:r>
        <w:t xml:space="preserve"> </w:t>
      </w:r>
    </w:p>
    <w:p>
      <w:pPr>
        <w:pStyle w:val="Heading2"/>
      </w:pPr>
      <w:r>
        <w:t>Experiments</w:t>
      </w:r>
    </w:p>
    <w:p>
      <w:r>
        <w:t>Datasets: EDGAR filings (Risk Factors and MD&amp;A) for US large caps (S&amp;P500 or Compustat coverage) from 2005–2022; Compustat/CRSP fundamentals; CDS spreads and implied volatility where available; FR Y-15 / supervisory exposures where available for validation. Baselines: (A) no-text baseline using only fundamentals and network centrality; (B) LDA-based TextScore baseline (topic model); (C) SBERT embeddings baseline; (D) text-only predictive model without network. Primary metrics: out-of-sample AUC and ROC for short-horizon PD prediction, RMSE for SRISK/CoVaR point forecasts, Brier score for PD calibration, and tail-dependence metrics (λU, λL) at 95/99 percentiles. Experimental setup: split data into training (2005–2016), validation (2017–2018), test (2019–2022) temporal folds; tune hyperparameters on validation. Estimation: (1) compute TextScore per firm-quarter and homogeneity per sector; (2) fit panel logit/cox models with firm and time fixed effects; cluster SEs by firm and time; (3) fit copulas (Gaussian, t with estimated df, C- and D-vine) to residualized returns to estimate dependence; (4) reconstruct networks with 1,000 maximum-entropy draws per year; (5) run contagion simulations: for each of 1,000 bootstrap draws sample PDs, dependence, and network, run Eisenberg–Noe and DebtRank, record SRISK/CoVaR. Ablation studies: (i) embedding ablation: FinBERT primary vs SBERT vs RoBERTa-fin; (ii) boilerplate removal levels {0%,10%,25%,50%}; (iii) aggregation windows: quarterly vs annual vs rolling 12-month; (iv) dependence family ablation across copulas. Report: median and 90% CI for metrics, percent improvement over baselines, and sensitivity tables for ablations.</w:t>
      </w:r>
    </w:p>
    <w:p>
      <w:r>
        <w:t xml:space="preserve"> </w:t>
      </w:r>
    </w:p>
    <w:p>
      <w:pPr>
        <w:pStyle w:val="Heading2"/>
      </w:pPr>
      <w:r>
        <w:t>Risk Factors And Limitations</w:t>
      </w:r>
    </w:p>
    <w:p>
      <w:r>
        <w:t>1) Endogeneity and reverse causality: firms may change language in response to market stress, complicating causal claims. 2) Instrument validity risk: proposed instruments (disclosure rollouts) may correlate with unobserved regulatory or macro shocks, threatening exclusion restrictions. 3) Boilerplate and strategic disclosure: template language can artificially elevate homogeneity despite controls. 4) Missing market data: many firms lack CDS or derivatives, creating selection bias and reduced external validity. 5) Embedding measurement error: transformer embeddings may vary with model choice and training data, and errors propagate downstream. 6) Copula and tail-mis specification: chosen dependence families may fail to capture extreme joint behavior. 7) Network reconstruction uncertainty: reconstructed exposures rely on priors and may produce wide bounds on systemic metrics. 8) Computational cost: large-scale embedding, ensemble uncertainty estimation, copula fitting, and thousands of contagion simulations require substantial compute and time. 9) Generalization limits: methods tuned on US filings and S&amp;P500 firms may not generalize to smaller firms or other jurisdictions with different disclosure practices. 10) Annotation bias: the gold corpus sampling or annotator disagreement can bias sentence scoring if not representative.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