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military_board_audit_em_pk</w:t>
      </w:r>
    </w:p>
    <w:p>
      <w:r>
        <w:t xml:space="preserve"> </w:t>
      </w:r>
    </w:p>
    <w:p>
      <w:pPr>
        <w:pStyle w:val="Heading2"/>
      </w:pPr>
      <w:r>
        <w:t>Title</w:t>
      </w:r>
    </w:p>
    <w:p>
      <w:r>
        <w:t>Staggered difference-in-differences and IV analysis of military-experienced board directors and audit quality on accrual and real earnings management in Pakistani non-financial firms</w:t>
      </w:r>
    </w:p>
    <w:p>
      <w:r>
        <w:t xml:space="preserve"> </w:t>
      </w:r>
    </w:p>
    <w:p>
      <w:pPr>
        <w:pStyle w:val="Heading2"/>
      </w:pPr>
      <w:r>
        <w:t>Short Hypothesis</w:t>
      </w:r>
    </w:p>
    <w:p>
      <w:r>
        <w:t>Appointment of ex-military directors to corporate boards causes a reduction in accrual-based earnings management in Pakistani non-financial firms, and this reduction is larger when audit quality is higher.</w:t>
      </w:r>
    </w:p>
    <w:p>
      <w:r>
        <w:t xml:space="preserve"> </w:t>
      </w:r>
    </w:p>
    <w:p>
      <w:pPr>
        <w:pStyle w:val="Heading2"/>
      </w:pPr>
      <w:r>
        <w:t>Related Work</w:t>
      </w:r>
    </w:p>
    <w:p>
      <w:r>
        <w:t>Existing research studies how board composition and director backgrounds affect firm outcomes using cross-sectional regressions, panel fixed-effects, and a few natural experiments. Prior work on military-affiliated directors shows links to governance and disclosure but often focuses on single-country descriptive analysis, uses only accrual measures, or ignores real earnings management. Studies of audit quality and earnings management commonly use Big Four or audit fees as proxies but face endogeneity of auditor choice and measurement error. Methodological advances include staggered difference-in-differences estimators and robust event-study tools, but many applied works still rely on TWFE and risk bias from staggered treatment timing. Instrumental-variable approaches are used but often rest on weak or questionable exclusion restrictions. Limitations in the literature include limited emerging-market evidence, weak identification of causal effects, inadequate treatment of measurement error, and scarce use of mediation analyses to link board traits, auditors, and EM.</w:t>
      </w:r>
    </w:p>
    <w:p>
      <w:r>
        <w:t xml:space="preserve"> </w:t>
      </w:r>
    </w:p>
    <w:p>
      <w:pPr>
        <w:pStyle w:val="Heading2"/>
      </w:pPr>
      <w:r>
        <w:t>Abstract</w:t>
      </w:r>
    </w:p>
    <w:p>
      <w:r>
        <w:t>This study examines whether appointing ex-military directors to corporate boards affects earnings management in non-financial firms listed on the Pakistan Stock Exchange (2010–2022), and whether audit quality moderates that effect. We measure accrual-based earnings management with the modified Jones model (and robustness variants) and real earnings management with Roychowdhury components aggregated into a composite REM score. Identification uses staggered treatment timing with Callaway &amp; Sant’Anna and Sun &amp; Abraham estimators, compared to TWFE, together with supply-side instrumental variables and plausibility bounds to probe exclusion assumptions. Measurement reliability is assessed via a 12–15% dual-coded validation subsample and corrected using SIMEX or regression-calibration. We test mediation through audit-committee oversight and audit signals using causal mediation techniques. The contribution is a transparent, pre-registered causal analysis that combines robust staggered-DiD, IV sensitivity, measurement-error correction, and mediation to clarify how military board experience and audit quality jointly shape accrual and real earnings management in an emerging-market setting.</w:t>
      </w:r>
    </w:p>
    <w:p>
      <w:r>
        <w:t xml:space="preserve"> </w:t>
      </w:r>
    </w:p>
    <w:p>
      <w:pPr>
        <w:pStyle w:val="Heading2"/>
      </w:pPr>
      <w:r>
        <w:t>Methodology</w:t>
      </w:r>
    </w:p>
    <w:p>
      <w:r>
        <w:t>1. Data and coding: assemble firm-year panel of non-financial firms on PSX (2010–2022). Code director military background from sources in order: annual reports, PSX filings, SECP disclosures, director biographies; record URL, appointment date, rank, audit-committee role. Create validation subsample (12–15% of firm-years) with dual independent coding and compute Cohen's kappa. 2. Variables: accrual EM using modified Jones as primary; robustness: Kothari et al. and Dechow–Dichev. REM: Roychowdhury abnormal production, cash flow, discretionary expenses and composite REM score. Audit quality: Big Four indicator, auditor industry specialization, scaled audit fees (fees/assets), partner tenure if available. Intensity: proportion of board seats ex-military and cumulative director-years; seniority coded via rank crosswalk. 3. Measurement correction: estimate misclassification rates from validation subsample; apply SIMEX for binary misclassification and regression calibration for continuous audit-fees to correct attenuation. 4. Identification: define treatment onset as first ex-military appointment (month when available, otherwise year). Estimate staggered DiD using Callaway &amp; Sant’Anna and Sun &amp; Abraham to obtain group-time ATTs; contrast with TWFE and report weight diagnostics. 5. Instrumental strategy: implement supply-side IVs (distance to cantonments, defense retirement waves, base openings), report first-stage F, Kleibergen–Paap, Hansen J, and apply Conley plausible-exogeneity bounds to allow small direct effects. 6. Mediation: use Imai causal mediation to decompose effects through audit quality and audit-committee military membership; if mediator endogeneity is large, run sequential g-estimation. 7. Balancing and robustness: use entropy balancing as main pre-DiD balancing; confirm with GBM propensity scores and Coarsened Exact Matching; apply winsorization at 1% and 99% and test alternatives. 8. Inference: cluster standard errors at firm, use wild cluster bootstrap if clusters small, two-way clustering (firm × industry-year) or Driscoll–Kraay as robustness, and compute MDEs for primary outcomes.</w:t>
      </w:r>
    </w:p>
    <w:p>
      <w:r>
        <w:t xml:space="preserve"> </w:t>
      </w:r>
    </w:p>
    <w:p>
      <w:pPr>
        <w:pStyle w:val="Heading2"/>
      </w:pPr>
      <w:r>
        <w:t>Experiments</w:t>
      </w:r>
    </w:p>
    <w:p>
      <w:r>
        <w:t>Dataset: firm-year panel of Pakistan Stock Exchange non-financial firms, 2010–2022; validation subsample: random 12–15% firm-years with dual coding. Baselines: (A) TWFE two-way fixed-effects; (B) Callaway &amp; Sant’Anna staggered DiD; (C) Sun &amp; Abraham event-study; (D) IV estimates using supply-side instruments; (E) System GMM as robustness for dynamic panels. Outcomes: modified Jones discretionary accruals (primary), Kothari-adjusted accruals, Dechow–Dichev accruals, composite REM score, and component REM measures. Moderators/mediators: Big Four, auditor specialization, scaled audit fees, audit-committee military membership. Evaluation metrics: estimated ATT coefficients, standard errors, p-values, 95% confidence intervals, pre-trend joint F-tests, share of negative TWFE weights, first-stage F-statistics, Kleibergen–Paap, Hansen J p-values, Cohen's kappa for coding, reliability ratios, SIMEX-corrected vs naive coefficient differences, MDEs. Experimental setup: sample selection excludes financial firms; winsorize financial variables at 1%/99%; include firm and year fixed effects; cluster SEs at firm. Event-study window: at least 4 years pre and post where available, require ≥2 pre-treatment years for plots. Placebo tests: pseudo-treatment dates, industry-peer placebo assignment, negative-control outcomes (lagged CAPEX growth, pre-treatment non-operating cash flows). Ablation studies: (1) remove audit-quality moderator; (2) use only accrual EM or only REM; (3) run estimators without SIMEX correction; (4) alternative REM aggregation weights; (5) include lagged dependent variable with System GMM versus exclude lag. Subsample analyses: by ownership type (state, family, institutional), firm size terciles, and industry regulatory scrutiny. Report all first-stage and robustness diagnostics for each specification.</w:t>
      </w:r>
    </w:p>
    <w:p>
      <w:r>
        <w:t xml:space="preserve"> </w:t>
      </w:r>
    </w:p>
    <w:p>
      <w:pPr>
        <w:pStyle w:val="Heading2"/>
      </w:pPr>
      <w:r>
        <w:t>Risk Factors And Limitations</w:t>
      </w:r>
    </w:p>
    <w:p>
      <w:r>
        <w:t>1. IV exogeneity: distance to cantonments or retired-officer density may correlate with regional economic factors that affect EM, threatening exclusion restrictions. 2. Measurement error: incomplete director histories or missing audit-fee data can bias estimates despite validation corrections. 3. Low power: few treated firms or short post-treatment windows can yield imprecise ATT estimates and underpowered subgroup tests. 4. Staggered DiD bias: heterogeneous treatment timing and dynamic effects can complicate TWFE comparisons and aggregated ATTs. 5. Auditor endogeneity: auditor choice and fees are endogenous and instruments for auditors may be weak. 6. Spillovers and SUTVA violations: neighboring or industry peers may change behavior, violating no-interference assumptions. 7. Outcome persistence: accruals and REM are persistent; dynamic panel estimators risk instrument proliferation and weak identification. 8. Generalization: findings apply to Pakistani non-financial firms and may not generalize to other countries or sectors. 9. Data governance: incomplete source URLs or inconsistent disclosure formats may hamper reproducibility. 10. Computational limits: SIMEX corrections, bootstrapping event-studies, and many robustness checks increase compute time and complexity.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