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saudi_teachers_21c_integration</w:t>
      </w:r>
    </w:p>
    <w:p>
      <w:r>
        <w:t xml:space="preserve"> </w:t>
      </w:r>
    </w:p>
    <w:p>
      <w:pPr>
        <w:pStyle w:val="Heading2"/>
      </w:pPr>
      <w:r>
        <w:t>Title</w:t>
      </w:r>
    </w:p>
    <w:p>
      <w:r>
        <w:t>A sequential exploratory mixed-methods study of English and mathematics teachers' integration of 21st-century skills and barriers in Saudi classrooms</w:t>
      </w:r>
    </w:p>
    <w:p>
      <w:r>
        <w:t xml:space="preserve"> </w:t>
      </w:r>
    </w:p>
    <w:p>
      <w:pPr>
        <w:pStyle w:val="Heading2"/>
      </w:pPr>
      <w:r>
        <w:t>Short Hypothesis</w:t>
      </w:r>
    </w:p>
    <w:p>
      <w:r>
        <w:t>Teachers who receive a structured professional development program on 21st-century pedagogies will show greater classroom integration of creativity, collaboration, critical thinking, and communication than comparable teachers who do not receive the program.</w:t>
      </w:r>
    </w:p>
    <w:p>
      <w:r>
        <w:t xml:space="preserve"> </w:t>
      </w:r>
    </w:p>
    <w:p>
      <w:pPr>
        <w:pStyle w:val="Heading2"/>
      </w:pPr>
      <w:r>
        <w:t>Related Work</w:t>
      </w:r>
    </w:p>
    <w:p>
      <w:r>
        <w:t>Existing studies have used qualitative observations, interviews, or self-report surveys to document teacher efforts to teach 21st-century skills. Mixed-methods work shows common barriers: limited resources, exam-driven curricula, time constraints, and insufficient PD. Psychometric work on teacher practice scales is limited: many instruments rely on self-report without strong validation, few studies run cluster-aware factor analyses or IRT calibration, and invariance and DIF across subject, gender-segregation, and region are often untested. Observation studies sometimes lack rater calibration or clear operational indicators, and triangulation with lesson artifacts is uncommon. As a result, prior approaches may overestimate integration, produce measures that are not comparable across groups, and fail to quantify minimal detectable effects under clustering. Open problems include robust, culture-sensitive measurement, transparent DIF/invariance protocols, and causal tests of PD effects with adequate cluster power.</w:t>
      </w:r>
    </w:p>
    <w:p>
      <w:r>
        <w:t xml:space="preserve"> </w:t>
      </w:r>
    </w:p>
    <w:p>
      <w:pPr>
        <w:pStyle w:val="Heading2"/>
      </w:pPr>
      <w:r>
        <w:t>Abstract</w:t>
      </w:r>
    </w:p>
    <w:p>
      <w:r>
        <w:t>This study measures how English and mathematics teachers in Saudi Arabia integrate four 21st-century skills—creativity, collaboration, critical thinking, and communication—into instruction and identifies barriers to integration. We use a sequential exploratory mixed-methods design: classroom observations and semi-structured interviews produce operational indicators and survey items; a pilot validates items; a main stratified sample of teachers completes the finalized survey alongside artifact collection. The psychometric pipeline uses exploratory factor analysis (to find latent structure), confirmatory factor analysis (to confirm structure), and graded-response item response theory (to calibrate items). We pre-specify DIF and invariance tests across subject, gender context, urbanicity, and sector, and run a cluster-randomized PD pilot to test causal effects. The main contributions are (1) a validated, culturally adapted measurement battery for 21st-century instructional integration, (2) transparent DIF/invariance and cluster-power results, and (3) evidence linking PD and contextual barriers to observed classroom practice. Expected outcomes include reliable measures for policy use and quantified effect sizes for PD interventions.</w:t>
      </w:r>
    </w:p>
    <w:p>
      <w:r>
        <w:t xml:space="preserve"> </w:t>
      </w:r>
    </w:p>
    <w:p>
      <w:pPr>
        <w:pStyle w:val="Heading2"/>
      </w:pPr>
      <w:r>
        <w:t>Methodology</w:t>
      </w:r>
    </w:p>
    <w:p>
      <w:r>
        <w:t>1) Sampling and design: use stratified sampling by subject (English/math), urbanicity (urban/rural), sector (public/private), and gender context (male/female schools) to form 16 strata. Target ~60 schools and ~500 teachers (≈8–10 teachers per school). 2) Qual→quant phase: conduct classroom observations (1–2 lessons per teacher) and semi-structured interviews to build an operational indicator matrix for each skill (teacher behaviors and student actions). 3) Observation rubric: 4-point ordinal items (0–3) with anchors and examples; collect lesson artifacts (task prompts, student work, rubrics). 4) Survey development: translate indicators into 5–8 Likert items per skill plus barrier items and behavioral vignettes (short scenarios with fixed response options). Use forward/back translation and a reconciliation committee. 5) Cognitive interviews: stratified cognitive interviews (n≥15–25 per key stratum groups) using think-aloud and targeted probes; success criterion: ≥90% item comprehension across strata. 6) Pilot: N≈120 stratified pilot to run item analysis and preliminary EFA. 7) Psychometric pipeline: EFA with Principal Axis Factoring and oblique rotation; retain factors by parallel analysis and MAP; CFA using WLSMV for ordinal data (aim loadings ≥.50, accept ≥.40 with content justification); graded-response IRT for calibration (item discrimination a≥.65). 8) DIF and invariance: run complementary DIF tests (ordinal logistic regression ΔR2, IRT likelihood-ratio tests, and Lord-type tests); preselect anchors with high loadings (&gt; .50) and stable intercepts, use iterative purification; apply alignment optimization as sensitivity check. 9) Main fielding: collect survey, observations, and artifacts (N≈500). 10) Causal test: implement a cluster randomized PD pilot (randomize ~20 schools to PD vs waitlist) and/or use propensity-score methods if randomization not feasible. 11) Analysis: compute observer IRR (Cohen’s kappa/ICC) and psychometric indices (CFI/TLI, RMSEA, alpha/omega); run multilevel models (teachers nested in schools) and multilevel SEM for mediation (PD → pedagogical practices → integration). 12) Pre-registration, data governance, and reproducibility: preregister hypotheses, code, simulation scripts, and decision rules; store data on secure MOE-compliant servers.</w:t>
      </w:r>
    </w:p>
    <w:p>
      <w:r>
        <w:t xml:space="preserve"> </w:t>
      </w:r>
    </w:p>
    <w:p>
      <w:pPr>
        <w:pStyle w:val="Heading2"/>
      </w:pPr>
      <w:r>
        <w:t>Experiments</w:t>
      </w:r>
    </w:p>
    <w:p>
      <w:r>
        <w:t>Datasets: Pilot dataset: N≈120 teachers stratified across the 16 strata, with 1–2 observed lessons and completed cognitive interviews. Main dataset: N≈500 teachers from ≈60 schools; each teacher: 1 survey, 1–2 observed lessons, lesson artifacts. PD experiment: cluster randomized trial on a subset of ~20 schools (10 PD, 10 waitlist), pre/post measures. Baselines: (A) self-report only instrument without vignettes, (B) survey without artifact triangulation, (C) analyses that ignore DIF/invariance, (D) single-level regression ignoring clustering. Evaluation metrics: psychometric thresholds: CFI/TLI (≥.95 target), RMSEA (≤.06), SRMR (≤.08), Cronbach’s alpha/McDonald’s omega (≥.70), item-total r (≥.30), kappa/ICC for observations (≥.70). Effect metrics: multilevel fixed-effect coefficients (β) with SEs, standardized effect sizes (Cohen’s d), intraclass correlations (ICC), and minimum detectable effect (MDE) from Monte Carlo simulations under ICC scenarios {.02,.05,.10,.15}. Experimental setup: 1) Pilot: run EFA (PAF, oblique) and item analyses; drop items with communalities &lt;.30 or item-total r &lt;.30. 2) Validation: run CFA (WLSMV) on main sample; test configural, metric, scalar invariance across English vs Math, gender context, urbanicity, sector. 3) DIF tests: for each polytomous item run ordinal logistic regression ΔR2 and IRT-LR tests; flag items identified by ≥2 methods. 4) IRT calibration: graded-response model to produce theta scores and test information. 5) Causal test: estimate PD effect via multilevel model with random intercepts for school; for cluster RCT report intent-to-treat β and Cohen’s d. 6) Comparisons/ablations: (i) with vs without vignettes (compare criterion validity: correlation of survey scores with observation composites), (ii) anchor-based linking vs alignment optimization for latent means, (iii) models with and without DIF-adjusted scoring to measure impact on group differences. 7) Reporting: publish Monte Carlo power-simulation results and MDEs, item-level DIF tables, and sensitivity analyses.</w:t>
      </w:r>
    </w:p>
    <w:p>
      <w:r>
        <w:t xml:space="preserve"> </w:t>
      </w:r>
    </w:p>
    <w:p>
      <w:pPr>
        <w:pStyle w:val="Heading2"/>
      </w:pPr>
      <w:r>
        <w:t>Risk Factors And Limitations</w:t>
      </w:r>
    </w:p>
    <w:p>
      <w:r>
        <w:t>1) Measurement failure: items may show poor fit, low loadings, or low discrimination, requiring iterative rewrite or removal. 2) DIF and invariance issues: substantial noninvariance across groups may limit valid comparisons. 3) Observer constraints: denied video consent or limited access can reduce double-coding and IRR estimates. 4) Sampling and power: school-level clustering and higher-than-expected ICCs can reduce effective sample size and power for cross-level interactions. 5) Causal inference limits: PD effects may be confounded if randomization is infeasible; propensity adjustments rely on observed covariates. 6) Translation/dialect bias: subtle language differences may induce measurement bias across regions/genders. 7) Response bias: social desirability or acquiescence may inflate self-reports despite vignettes. 8) Missing data: nonrandom missingness (MNAR) could bias estimates if unmodeled. 9) Scalability and resources: extensive observation, translation, and artifact coding require time and trained personnel; compute for IRT and multilevel SEM with bootstrapping may be heavy. 10) Generalization limits: findings may not generalize beyond sampled regions, school types, or to other subject domains.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