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sc_dl_ses_he_china</w:t>
      </w:r>
    </w:p>
    <w:p>
      <w:r>
        <w:t xml:space="preserve"> </w:t>
      </w:r>
    </w:p>
    <w:p>
      <w:pPr>
        <w:pStyle w:val="Heading2"/>
      </w:pPr>
      <w:r>
        <w:t>Title</w:t>
      </w:r>
    </w:p>
    <w:p>
      <w:r>
        <w:t>Regression-based multilevel analysis of social capital, digital literacy, and socioeconomic status on Chinese high school graduates' access to higher education</w:t>
      </w:r>
    </w:p>
    <w:p>
      <w:r>
        <w:t xml:space="preserve"> </w:t>
      </w:r>
    </w:p>
    <w:p>
      <w:pPr>
        <w:pStyle w:val="Heading2"/>
      </w:pPr>
      <w:r>
        <w:t>Short Hypothesis</w:t>
      </w:r>
    </w:p>
    <w:p>
      <w:r>
        <w:t>Increasing students' social capital causally raises their probability of enrolling in higher education within 12 months, and this positive effect is larger for students with higher digital literacy and higher socioeconomic status.</w:t>
      </w:r>
    </w:p>
    <w:p>
      <w:r>
        <w:t xml:space="preserve"> </w:t>
      </w:r>
    </w:p>
    <w:p>
      <w:pPr>
        <w:pStyle w:val="Heading2"/>
      </w:pPr>
      <w:r>
        <w:t>Related Work</w:t>
      </w:r>
    </w:p>
    <w:p>
      <w:r>
        <w:t>Existing research finds that social capital, digital literacy, and socioeconomic status (SES) correlate with higher-education access in China, using cross-sectional surveys and multilevel regressions. Prior approaches often (1) rely on simple counts or single-item measures of social capital rather than validated latent scales, (2) use self-reported digital skills without calibrated performance tasks, (3) face weak causal identification because of limited instruments or temporal ordering, and (4) struggle with clustered designs and small numbers of higher-level units, producing uncertain standard errors. Mediation and moderation in hierarchical data are frequently handled with ad hoc two-step regressions rather than pre-registered multilevel mediation estimators or doubly-robust methods. Surveys also rarely integrate weight-aware multiple imputation and sensitivity analyses for MNAR (missing not at random). These gaps limit causal claims and the credibility of interaction or indirect-effect findings across urban/rural and regional strata.</w:t>
      </w:r>
    </w:p>
    <w:p>
      <w:r>
        <w:t xml:space="preserve"> </w:t>
      </w:r>
    </w:p>
    <w:p>
      <w:pPr>
        <w:pStyle w:val="Heading2"/>
      </w:pPr>
      <w:r>
        <w:t>Abstract</w:t>
      </w:r>
    </w:p>
    <w:p>
      <w:r>
        <w:t>This study examines whether and how social capital shapes Chinese high school graduates' access to higher education, and how digital literacy and socioeconomic status (SES) interact with social capital to influence outcomes. We collect a stratified survey (n≈629) across eastern, central, and western provinces, combine objective counts, frequency/perception items, and calibrated digital-literacy performance tasks, and form validated latent scores via confirmatory factor analysis. We use three-level regression models (students within schools within provinces) to estimate the average treatment effect of a one-standard-deviation increase in social capital on 12-month higher-education enrollment, test SC×digital-literacy moderation, and decompose SES indirect effects via multilevel mediation estimators. We pre-register Monte Carlo power scenarios, apply design weights with level-specific scaling, use multilevel multiple imputation for missing data, and run instrumental-variable and doubly-robust checks when feasible. The main contribution is a reproducible, equity-centered analytic pipeline that clarifies mechanisms linking social capital, digital literacy, and SES to higher-education access in China and provides policy-relevant effect sizes and uncertainty bounds.</w:t>
      </w:r>
    </w:p>
    <w:p>
      <w:r>
        <w:t xml:space="preserve"> </w:t>
      </w:r>
    </w:p>
    <w:p>
      <w:pPr>
        <w:pStyle w:val="Heading2"/>
      </w:pPr>
      <w:r>
        <w:t>Methodology</w:t>
      </w:r>
    </w:p>
    <w:p>
      <w:r>
        <w:t>1) Sampling and design: Use stratified cluster sampling by region (east/central/west) × urban/rural × school type, target ~50–60 schools and ~629 students (avg ~11–13 per school). Compute design weights as inverse selection probability × nonresponse adjustment; mean-scale level-2 weights for multilevel models. 2) Measurement: Collect social capital items (objective counts, frequency of informational exchanges, perceived access) and digital literacy items (device/broadband access, self-efficacy Likert items, two timed performance tasks). SES via parental education, coded occupations, and household assets (PCA). 3) Validation: Fit confirmatory factor analysis (CFA) and bifactor models to produce latent factor scores; report CFI, RMSEA, and omega. Test metric and scalar invariance across region and urban/rural. (CFA: a statistical method that models observed items as indicators of hidden "latent" traits; CFI and RMSEA are fit numbers.) 4) Missing data: Apply multilevel multiple imputation (≥20 imputations) including auxiliary variables and cluster IDs. 5) Primary models: Estimate three-level generalized linear mixed models (logistic for binary HE attendance) with random intercepts for schools and provinces; include SC, DL, SES, SC×DL interaction, and pre-specified covariates. 6) Mediation: Use multilevel mediation estimators (multilevel SEM or two-stage causal mediation) to estimate indirect SES→SC/DL→attendance and report bootstrapped CIs; pre-specify sensitivity parameters for unobserved confounding. 7) Causal checks: Run IV tests when valid instruments exist (e.g., staggered broadband rollout) with first-stage F-statistics and overidentification checks; run doubly-robust estimators (AIPW/TMLE) as robustness. 8) Inference: Use small-cluster adjustments (CR2, wild cluster bootstrap) when clusters per stratum are few. 9) Open science: Pre-register analysis, share code and anonymized data products.</w:t>
      </w:r>
    </w:p>
    <w:p>
      <w:r>
        <w:t xml:space="preserve"> </w:t>
      </w:r>
    </w:p>
    <w:p>
      <w:pPr>
        <w:pStyle w:val="Heading2"/>
      </w:pPr>
      <w:r>
        <w:t>Experiments</w:t>
      </w:r>
    </w:p>
    <w:p>
      <w:r>
        <w:t>Datasets: Primary: new stratified survey (n≈629) across east/central/west provinces with school identifiers, performance task logs, and household modules. Auxiliary: administrative gaokao cutoffs and broadband rollout timing at county level. Baselines: (A) single-level logistic regression with observed SC count; (B) three-level logistic without DL; (C) three-level logistic using CFA-derived SC latent scores; (D) doubly-robust AIPW/TMLE estimators for ATE. Models to run: multilevel logistic (random intercepts), multilevel logistic with SC×DL interaction, multilevel SEM mediation, IV two-stage least squares (LATE interpretation) when instrument available, TMLE/AIPW for ATE. Evaluation metrics: for CFA: CFI, RMSEA, omega; for classification: average marginal effect (AME) and odds ratios on HE attendance, 95% CI; for continuous outcomes (gaokao z-score): coefficient, RMSE; for mediation: indirect effect estimate with bootstrapped 95% CI and sensitivity rho parameter; for IV: first-stage F-stat and Anderson–Rubin p-value. Experimental setup: pre-register analysis plan; run Monte Carlo power simulations with 1,000–5,000 draws per scenario for ICC_school in {0.03,0.05,0.08,0.10}, ICC_region in {0.01,0.03,0.05}, cluster size avg=12 (CV=0.5), covariate R2={0.2,0.4}; report MDES tables. Missing data: perform multilevel MICE with 20 imputations; compare pooled results to complete-case. Ablation studies: (1) remove performance-task scores to test their contribution; (2) replace latent SC with objective counts; (3) compare AIPW/TMLE vs multilevel logistic estimates; (4) run models with and without weight trimming (99th percentile cap). Robustness comparisons: CR2 vs wild cluster bootstrap inference; OLS/GLM vs IV and LIML when applicable.</w:t>
      </w:r>
    </w:p>
    <w:p>
      <w:r>
        <w:t xml:space="preserve"> </w:t>
      </w:r>
    </w:p>
    <w:p>
      <w:pPr>
        <w:pStyle w:val="Heading2"/>
      </w:pPr>
      <w:r>
        <w:t>Risk Factors And Limitations</w:t>
      </w:r>
    </w:p>
    <w:p>
      <w:r>
        <w:t>1) Power limits: n≈629 and ~50–60 clusters may be underpowered for small three-way interactions, many random slopes, or small indirect effects. 2) Measurement error: latent social-capital scores and performance tasks may have error that biases effect sizes if not corrected. 3) Access bias in performance tasks: device or bandwidth differences can affect scores, creating confounding with SES. 4) Missing data MNAR: if nonresponse relates to unobserved traits, multiple imputation may be insufficient. 5) Weak or invalid instruments: staggered rollouts or policy timing may correlate with unobserved local factors, violating exclusion. 6) Few higher-level units: small number of provinces or strata can make random-effects variance estimates and standard errors unstable. 7) Weighting complexity: integrating design weights into multilevel models and imputation is technically complex and may affect estimates. 8) Generalizability: results reflect sampled strata and may not generalize to all Chinese provinces or cohorts. 9) Unobserved confounding: observational design cannot fully rule out omitted variable bias for causal claims. 10) Computational limits: bootstrap mediation and many simulation scenarios require moderate compute and time.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