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chatgpt4_reading_intervention</w:t>
      </w:r>
    </w:p>
    <w:p>
      <w:r>
        <w:t xml:space="preserve"> </w:t>
      </w:r>
    </w:p>
    <w:p>
      <w:pPr>
        <w:pStyle w:val="Heading2"/>
      </w:pPr>
      <w:r>
        <w:t>Title</w:t>
      </w:r>
    </w:p>
    <w:p>
      <w:r>
        <w:t>Using ChatGPT-4 to generate student-prompted texts to improve fourth-graders' reading fluency, comprehension, and reading motivation: a Solomon four-group mixed-methods evaluation</w:t>
      </w:r>
    </w:p>
    <w:p>
      <w:r>
        <w:t xml:space="preserve"> </w:t>
      </w:r>
    </w:p>
    <w:p>
      <w:pPr>
        <w:pStyle w:val="Heading2"/>
      </w:pPr>
      <w:r>
        <w:t>Short Hypothesis</w:t>
      </w:r>
    </w:p>
    <w:p>
      <w:r>
        <w:t>Fourth-grade students who read texts generated by ChatGPT-4 from their own prompts will show greater gains in reading comprehension and reading motivation than students who read teacher-selected texts.</w:t>
      </w:r>
    </w:p>
    <w:p>
      <w:r>
        <w:t xml:space="preserve"> </w:t>
      </w:r>
    </w:p>
    <w:p>
      <w:pPr>
        <w:pStyle w:val="Heading2"/>
      </w:pPr>
      <w:r>
        <w:t>Related Work</w:t>
      </w:r>
    </w:p>
    <w:p>
      <w:r>
        <w:t>Prior work has tested AI-driven and personalized reading platforms, automated tutoring, and adaptive text recommendation for elementary reading. These approaches show promise for improving fluency and comprehension by tailoring content to student level or interests. Limitations include small or non-randomized samples, limited cluster-aware designs in classroom studies, inadequate handling of teacher/classroom contamination, and weak attention to psychometric equivalence of pre/post forms. Many studies do not fully address AI-specific risks: hallucinated or culturally insensitive content, lack of redaction of student identifiers, and vendor data-use safeguards. Existing evaluations often omit rigorous multilevel power planning (ICCs, MDES tied to number of classes), sparse strategies for Solomon 2x2 encoding with clustered data, and limited mixed-method integration that links mechanisms (engagement, agency) to quantitative contrasts.</w:t>
      </w:r>
    </w:p>
    <w:p>
      <w:r>
        <w:t xml:space="preserve"> </w:t>
      </w:r>
    </w:p>
    <w:p>
      <w:pPr>
        <w:pStyle w:val="Heading2"/>
      </w:pPr>
      <w:r>
        <w:t>Abstract</w:t>
      </w:r>
    </w:p>
    <w:p>
      <w:r>
        <w:t>This study evaluates whether texts generated by ChatGPT-4 from fourth-grade students’ own prompts can improve reading fluency, comprehension, and reading motivation. We implement a Solomon four-group mixed-methods design in two public primary schools: a cluster-randomized quantitative trial across classroom units paired with an embedded qualitative case study. The intervention uses a prompt hygiene pipeline (automated PII redaction), model-generated passages tailored to each student prompt, and a content-verification log for each output. Primary contributions are (1) a rigorously specified clustered Solomon 2x2 analytic approach for classroom trials with clear contrasts and mixed-effects estimation; (2) operational safety and fidelity procedures for school-based AI text generation; and (3) mixed-method evidence linking text personalization and student engagement to learning outcomes. Expected outcomes include empirically grounded effect-size estimates, reproducible analytic templates for clustered Solomon designs, and practical guidance on AI text verification and ethical safeguards in primary classrooms.</w:t>
      </w:r>
    </w:p>
    <w:p>
      <w:r>
        <w:t xml:space="preserve"> </w:t>
      </w:r>
    </w:p>
    <w:p>
      <w:pPr>
        <w:pStyle w:val="Heading2"/>
      </w:pPr>
      <w:r>
        <w:t>Methodology</w:t>
      </w:r>
    </w:p>
    <w:p>
      <w:r>
        <w:t>1) Design and randomization: assign entire classrooms (clusters) to one of four Solomon cells: (a) treatment + pretest, (b) treatment + no pretest, (c) control + pretest, (d) control + no pretest. Stratify randomization by school and ELL status. Treatment classrooms use ChatGPT-4 texts generated from each student's prompt; control classrooms use teacher-selected conventional texts matched for topic and readability. 2) Prompt and generation pipeline: students create short prompts (1-2 sentences) guided by templates. Before any model call, run automated PII redaction that replaces names/locations with synthetic IDs. Send redacted prompts to ChatGPT-4 with a fixed system prompt controlling genre, length, and reading level. 3) Verification: each AI passage is checked against a verification checklist (age-appropriateness, factual accuracy, cultural sensitivity, readability). Log decision: accept, accept-with-edit (log edits), or reject/regenerate. 4) Intervention delivery: reading sessions occur within normal literacy block; students read aloud or silently, complete retell tasks, and receive usual teacher scaffolding. 5) Measurement: collect CBM oral reading fluency (words per minute), a calibrated comprehension test (0–30), and a brief reading motivation survey (Likert). Collect fidelity logs, engagement ratings, and store prompts/verified outputs for analysis. 6) Qualitative case study: purposive sample of 10–12 students representing ability, ELL, and engagement for observations, think-alouds, and interviews. 7) Analysis preparation: estimate ICCs and SDs from a 2–4 class pilot to parameterize simulation-based power models. Pre-register primary contrast and analysis scripts.</w:t>
      </w:r>
    </w:p>
    <w:p>
      <w:r>
        <w:t xml:space="preserve"> </w:t>
      </w:r>
    </w:p>
    <w:p>
      <w:pPr>
        <w:pStyle w:val="Heading2"/>
      </w:pPr>
      <w:r>
        <w:t>Experiments</w:t>
      </w:r>
    </w:p>
    <w:p>
      <w:r>
        <w:t>Participants and allocation: N≈106 fourth-grade students across available classrooms. Allocate classrooms to Solomon cells so student counts per cell ≈26–27; record number of clusters per cell. Baselines: teacher-selected texts matched by readability. Ablation comparisons: (A) ChatGPT-4 texts from student prompts (personalized), (B) ChatGPT-4 texts from standard researcher prompts (non-personalized), (C) teacher-selected texts. Outcome metrics: CBM words-per-minute (WPM), comprehension raw score (0–30), reading-motivation Likert composite, retell rubric score, 1-month and 3-month follow-ups. Fidelity metrics: composite fidelity index (0–100) from session logs and verification outcomes. Analysis model: mixed-effects model with random intercepts for class nested in school: lmer(post_score ~ treatment * pretest_presence + pretest_score + covariates + (1 | school/class), REML estimation). Primary contrasts: (1) treatment main effect averaged over pretest_presence, (2) treatment × pretest_presence interaction, (3) ANCOVA within pretested students: post ~ treatment + pretest + covariates + (1 | school/class). Small-sample df corrections: use Kenward-Roger or Satterthwaite via lmerTest/pbkrtest. Missing data: use multilevel MI with jomo or mice 2l.pan; set m &gt;= max(50, round(100 * fraction_missing)). Power and MDES: run simr/powerlmm scenarios varying cluster counts (6,8,10,12 classes) and ICCs (0.03,0.08,0.15) to produce detectable d values. Statistical comparisons: pairwise contrasts among A,B,C; report adjusted p-values or hierarchical testing with pre-registered primary contrast. Ablation: compare personalized vs non-personalized ChatGPT outputs to isolate personalization effect; compare verified vs edited outputs as secondary analysis. Qualitative integration: link case-study themes (engagement, agency, prompt complexity) to individual-level outcomes via joint displays.</w:t>
      </w:r>
    </w:p>
    <w:p>
      <w:r>
        <w:t xml:space="preserve"> </w:t>
      </w:r>
    </w:p>
    <w:p>
      <w:pPr>
        <w:pStyle w:val="Heading2"/>
      </w:pPr>
      <w:r>
        <w:t>Risk Factors And Limitations</w:t>
      </w:r>
    </w:p>
    <w:p>
      <w:r>
        <w:t>1) Cluster counts and power: small number of classrooms reduces degrees of freedom for cluster-level inference; detectable effects may be limited to moderate or larger sizes. 2) Contamination: assigning different protocols in same school risks teacher or peer spillover if not scheduled and instructed carefully. 3) AI content failure modes: model hallucinations, biased or culturally insensitive content, and inappropriate language may occur and require human verification. 4) Privacy risks: prompts may inadvertently contain PII; redaction must be reliably automated. 5) Missing data and nonresponse: 10–30% attrition or partial data in schools can bias estimates if MAR assumptions fail. 6) Psychometric limits: pre/post forms may not be fully equivalent despite readability matching, complicating ANCOVA interpretations. 7) Generalizability: results from two public schools may not extend to different districts, grades, or languages. 8) Teacher and implementation variability: differences in scaffolding, fidelity, and technology access can confound treatment estimates. 9) Compute and vendor constraints: real-time generation and verification for many students requires staff time and possible vendor restrictions on data retention and training. 10) Ethical/regulatory constraints: district or parental refusal of AI use may limit recruitment and introduce selection bias.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