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fuzzy_pa_taiwan_wind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Fuzzy-distinction modeling for precautionary area planning of offshore wind farms on Taiwan's western coast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fuzzy inference system that integrates AIS-derived navigational uncertainty, ecological sensitivity, and metocean variability using interval/type-2 fuzzy sets will produce precautionary area (PA) polygons with at least a 10% lower navigational false-negative rate than PA polygons derived from AIS-density thresholding alone under the same validation dataset.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for PA and offshore-wind spatial planning use AIS-based kernel density estimation (KDE), deterministic buffers around routes, and simple multi-criteria scoring. Some studies apply type-1 fuzzy logic to combine navigation, ecology, and metocean factors, but they treat input uncertainty deterministically or with ad-hoc buffers. Limitations include weak handling of AIS reception gaps (Rc), lack of principled mapping from Monte Carlo AIS ensembles to membership functions, insufficient propagation of epistemic uncertainty (type-2), and limited spatial-validation protocols that ignore spatial autocorrelation. Prior calibration methods rely on expert tuning without Bayesian updates, and many pipelines lack reproducible containerized implementations and end-to-end validation against VTS/radar incident logs or ecological surveys.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Offshore wind farm siting requires balancing navigational safety and ecological protection under uncertain data. This work develops a reproducible method that applies fuzzy distinction techniques to design precautionary areas (PAs) along Taiwan’s western coast. We combine AIS-derived traffic metrics with per-cell uncertainty (Monte Carlo percentiles and reception coverage), standardized ecological sensitivity indices (ESI), and metocean ensembles. Uncertainty is encoded by mapping per-cell statistics into trapezoidal/triangular membership functions or interval/type-2 fuzzy sets where epistemic uncertainty is large. A hierarchical fuzzy inference system (FIS) produces a continuous PA suitability score; alpha-cut integration maps interval/type-2 outputs to exceedance probabilities for polygon generation at multiple risk thresholds. Main contributions are (1) a reproducible algorithmic mapping from AIS Monte Carlo summaries to fuzzy parameters, (2) interval/type-2 propagation through the FIS to preserve epistemic uncertainty, and (3) a spatial validation protocol using variogram-informed cross-validation and VTS/radar incident data. Expected outcomes are more defensible PA boundaries with explicit uncertainty envelopes to inform regulators and stakeholders.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1. Data acquisition: collect AIS message streams for western Taiwan, VTS/radar incident logs, ecological layers (habitat maps, species occurrences) and metocean ensembles (wind, wave, currents). AIS = Automatic Identification System, a vessel-tracking signal. 2. AIS QC and pre-processing: deduplicate messages, filter invalid speeds/headings, land-mask positions, compute per-cell reception coverage Rc (fraction of expected sampling windows received). 3. Monte Carlo AIS ensemble: bootstrap or simulate AIS position noise and reception gaps to produce per-cell summaries: mean, std, CV, p5/p25/p75/p95, Ntracks, Rc. 4. Map stats to membership functions (MFs): when data robust (N&gt;=30 and Rc&gt;=0.5) create trapezoidal MF with support=p5/p95 and core=p25/p75; otherwise use triangular modal = mean ± k·sigma (k by CV) or interval-type-1 core/support; if Rc&lt;0.3 or very sparse use interval-type-2. Explain: membership function = shape that maps input value to degree of belonging (0–1). Interval-type-2 = fuzzy set with uncertainty on the membership value itself. 5. Build FIS: define input variables (traffic density, encounter rate, ESI, wind, SWH), assign MFs, and create rule base (sample rules provided separately). Use Mamdani aggregation for interpretability. 6. IT2 propagation: represent interval sets via alpha-cuts (slices at membership levels); propagate through rules using interval arithmetic and aggregate to output interval envelopes. Alpha-cut = cross-section of a fuzzy set at a given membership level. 7. Defuzzification and exceedance mapping: compute centroid for crisp outputs when needed; for interval outputs compute exceedance probabilities by sampling alpha-cuts and mapping to probability mass; generate PA polygons at thresholds p&gt;=0.95, p&gt;=0.75, p&gt;=0.50. 8. Spatial handling: implement KDE bandwidth rules that account for Rc heterogeneity (bandwidth increases where Rc low), and use variogram to inform spatial block sizes for CV. 9. Implementation: Python stack (numpy, scipy, dask), containerize (Docker), store per-cell provenance (Ntracks,Rc,CV,percentiles). 10. Outputs: MGIS layers with mean and percentile rasters, PA polygons at multiple thresholds, and uncertainty envelopes.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AIS raw messages for western Taiwan (multi-year), VTS/radar incident logs and near-miss records, ecological validation points (habitat surveys, eDNA), metocean ensemble reanalyses (ERA5 or regional hindcast). Baselines: (A) AIS-density thresholding (fixed KDE + threshold), (B) KDE-based risk score fused with ESI by weighted sum (no fuzziness), (C) type-1 fuzzy system without interval propagation. Metrics: ROC AUC for navigational risk classification, false-negative rate (critical), precision/recall, IoU/Jaccard for PA polygon overlap with expert PAs, Brier score for probabilistic calibration, RMSE against VTS counts, and runtime/resource metrics. Experimental setup: grid at 100 m and 250 m resolution; Monte Carlo draws per cell = 300 (primary) and 500 (sensitivity); spatial cross-validation using variogram-informed block folds (e.g., create folds that respect spatial range from variogram); temporal splits (seasonal) for robustness. Ablation studies: 1) remove IT2 propagation (compare full IT2 vs type-1) to measure impact on calibration and false negatives; 2) disable Rc correction to quantify bias from reception gaps; 3) remove metocean conditioning to test sensitivity to sea-state. Sensitivity analysis: perform Morris screening then Sobol with planned sample size ~20,000 model evaluations for ranked parameters; record Sobol first- and total-order indices. Reproducibility: run each experiment with same Docker image and seed; report wall-time and peak memory on a reference cluster (32 cores, 256 GB RAM).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1. AIS coverage gaps and Rc spatial heterogeneity cause biased traffic estimates and may misclassify small/non-transmitting craft (e.g., local fishing). 2. Sparse ecological validation labels limit ground-truthing; expert delineations may be inconsistent. 3. Interval/type-2 propagation is computationally heavy; large-scale IT2 Sobol sensitivity may be costly. 4. Spatial autocorrelation can invalidate naive cross-validation and inflate performance estimates if not properly folded. 5. Mis-specified membership functions or rule weights can yield misleading PA outputs; expert elicitation may be subjective. 6. VTS/radar incident logs may be incomplete or biased toward major routes. 7. Regulatory acceptance requires legal mapping and stakeholder buy-in; model outputs alone are not enforceable. 8. Data licensing and AIS privacy/PII constraints may limit open release of datasets. 9. Results may not generalize beyond western Taiwan without recalibration for local traffic patterns and metocean regimes. 10. Real-time or near-real-time updates during transient events (typhoons, construction) may be infeasible given compute requirements.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