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dance_therapy_rehab_bibliometrics</w:t>
      </w:r>
    </w:p>
    <w:p>
      <w:r>
        <w:t xml:space="preserve"> </w:t>
      </w:r>
    </w:p>
    <w:p>
      <w:pPr>
        <w:pStyle w:val="Heading2"/>
      </w:pPr>
      <w:r>
        <w:t>Title</w:t>
      </w:r>
    </w:p>
    <w:p>
      <w:r>
        <w:t>Longitudinal bibliometric analysis of dance therapy in rehabilitation (2000–2024) to map intellectual structure, thematic evolution, and collaboration patterns using reproducible scientometric methods</w:t>
      </w:r>
    </w:p>
    <w:p>
      <w:r>
        <w:t xml:space="preserve"> </w:t>
      </w:r>
    </w:p>
    <w:p>
      <w:pPr>
        <w:pStyle w:val="Heading2"/>
      </w:pPr>
      <w:r>
        <w:t>Short Hypothesis</w:t>
      </w:r>
    </w:p>
    <w:p>
      <w:r>
        <w:t>Between 2000 and 2024, dance therapy research in rehabilitation has shifted from predominantly psychosocial topics toward increased mechanistic and neurorehabilitation emphasis, measurable as a statistically significant rise in the proportion and network centrality of neurorehabilitation-related keywords and cited references.</w:t>
      </w:r>
    </w:p>
    <w:p>
      <w:r>
        <w:t xml:space="preserve"> </w:t>
      </w:r>
    </w:p>
    <w:p>
      <w:pPr>
        <w:pStyle w:val="Heading2"/>
      </w:pPr>
      <w:r>
        <w:t>Related Work</w:t>
      </w:r>
    </w:p>
    <w:p>
      <w:r>
        <w:t>Previous studies applied bibliometric tools (for example: co‑occurrence maps, co‑authorship networks, and citation analyses) to subsets of dance therapy literature and have shown rising publication counts and clusters in social sciences and therapeutic interventions. Common methods include VOSviewer, bibliometrix, Scimago indicators, and CiteSpace burst detection. Limitations remain: many prior analyses are cross-sectional or short-term rather than fully longitudinal across two decades; they often rely on single databases without systematic cross‑database reconciliation; non‑English and grey literature are frequently excluded or only partially handled; clinical variables such as dose, delivery mode, and mechanistic outcomes are rarely coded; reproducible scripted workflows, containerized pipelines, and transparent provenance tables are not always provided; and clustering validation and sensitivity analyses (algorithm, resolution, counting method) are often limited or absent.</w:t>
      </w:r>
    </w:p>
    <w:p>
      <w:r>
        <w:t xml:space="preserve"> </w:t>
      </w:r>
    </w:p>
    <w:p>
      <w:pPr>
        <w:pStyle w:val="Heading2"/>
      </w:pPr>
      <w:r>
        <w:t>Abstract</w:t>
      </w:r>
    </w:p>
    <w:p>
      <w:r>
        <w:t>We present a reproducible, longitudinal bibliometric study of dance therapy in rehabilitation from 2000 to 2024 that maps the field's intellectual structure, thematic evolution, and collaboration patterns. Using a documented Web of Science query as primary source, supplemented by parallel searches in Scopus, PubMed, CNKI, and trial/preprint registries, we will deduplicate and harmonize records, apply a clinical codebook to extract dose and outcome variables, and compute network and thematic metrics with tools including bibliometrix, VOSviewer, Leiden clustering, and CiteSpace. Main contributions are (1) a two‑decade timeline of thematic shifts and citation bursts, (2) a harmonized dataset with provenance and translation logs, and (3) validated cluster solutions and sensitivity analyses contrasting algorithms and counting methods. Expected outcomes include identification of emerging research frontiers (for example mechanistic neurorehabilitation), quantification of geographic and language biases, and reproducible visualizations and scripts to support future synthesis and trial design.</w:t>
      </w:r>
    </w:p>
    <w:p>
      <w:r>
        <w:t xml:space="preserve"> </w:t>
      </w:r>
    </w:p>
    <w:p>
      <w:pPr>
        <w:pStyle w:val="Heading2"/>
      </w:pPr>
      <w:r>
        <w:t>Methodology</w:t>
      </w:r>
    </w:p>
    <w:p>
      <w:r>
        <w:t>1) Data retrieval: run the finalized topic query in Web of Science Core Collection (primary) for 2000–2024; run parallel exploratory queries in Scopus, PubMed/Medline, CNKI, Europe PMC, ClinicalTrials.gov, WHO ICTRP, and selected preprint servers. 2) Export and provenance: save raw exports with timestamps and store in a secured repo. 3) Deduplication: match records by DOI/PMID; for missing IDs use fuzzy title+first author+year matching (Levenshtein); thresholds: auto-merge ≥0.90, manual review 0.80–0.90. 4) Translation workflow: machine-translate non-English titles/abstracts (DeepL/Google); prioritize human translation for RCTs, bursty/central records, or ambiguous cases; log all decisions. 5) Codebook extraction: use a predefined codebook to extract bibliographic IDs, authors, affiliations, study design, population, intervention taxonomy (delivery mode, group/individual), dose (minutes/session, sessions/week, total sessions, total hours), outcomes (motor, cognitive, psychosocial), mechanistic measures, fidelity, follow-up. 6) Inter-rater reliability: pilot on ≥50–60 records, compute Cohen's kappa for categorical fields and ICC for continuous fields; iterate codebook. 7) Scientometric analyses: descriptive counts with bibliometrix; co‑occurrence and co‑authorship networks with VOSviewer/Gephi; cluster with Leiden (primary) and Louvain (sensitivity) using seed=42 and resolution sweep 0.5–1.5; derive labels via TF‑IDF/LLR and expert curation. 8) Trend and burst detection: apply joinpoint regression for publication trends and Kleinberg burst detection (CiteSpace) for keywords/cited refs. 9) Validation and sensitivity: report modularity, silhouette, stability across counting methods (full vs fractional), node thresholds, and algorithm choices. 10) Reproducibility: provide scripted pipelines (R/Python), containerize environment (Docker), and deposit cleaned aggregated outputs and scripts to OSF subject to licensing constraints.</w:t>
      </w:r>
    </w:p>
    <w:p>
      <w:r>
        <w:t xml:space="preserve"> </w:t>
      </w:r>
    </w:p>
    <w:p>
      <w:pPr>
        <w:pStyle w:val="Heading2"/>
      </w:pPr>
      <w:r>
        <w:t>Experiments</w:t>
      </w:r>
    </w:p>
    <w:p>
      <w:r>
        <w:t>Datasets: primary = Web of Science Core Collection export (2000–2024); supplementary = Scopus, PubMed/Medline, CNKI, Europe PMC, ClinicalTrials.gov, WHO ICTRP, medRxiv/PsyArXiv. Baselines: (A) naive keyword frequency trends (no deduplication), (B) single-database WoS maps without clinical coding. Evaluation metrics: publication growth rates and joinpoint-derived inflection p-values; network centrality metrics (degree, betweenness), cluster modularity and average silhouette, Cohen's kappa and ICC for IRR, I² for meta-analytic feasibility, counts/proportions of clinical dose reporting. Experimental setup: time slices = 2000–2004, 2005–2009, 2010–2014, 2015–2019, 2020–2024; clustering seed=42; resolution sweep = {0.5,0.75,1.0,1.25,1.5}; node thresholds = keywords ≥5 (sensitivity: 3,10), authors ≥3 (sensitivity: 2,5); counting methods = full and fractional. Ablation studies: 1) remove non‑English records to quantify language bias; 2) remove grey literature to measure effect on bursts and clusters; 3) compare Leiden vs Louvain cluster stability; 4) vary deduplication fuzzy threshold (0.90 vs 0.85) to assess provenance changes. Reproducibility checks: rerun key analyses in Docker and confirm identical seeds yield identical cluster assignments and numeric outputs. Reporting: present tables of top authors/institutions by citations and centrality, cluster labels per time slice, and sensitivity matrices for thresholds and algorithms.</w:t>
      </w:r>
    </w:p>
    <w:p>
      <w:r>
        <w:t xml:space="preserve"> </w:t>
      </w:r>
    </w:p>
    <w:p>
      <w:pPr>
        <w:pStyle w:val="Heading2"/>
      </w:pPr>
      <w:r>
        <w:t>Risk Factors And Limitations</w:t>
      </w:r>
    </w:p>
    <w:p>
      <w:r>
        <w:t>1) Licensing constraints: Web of Science raw cited‑reference lists may be restricted and cannot be fully published; derived matrices may be shareable but raw exports may require controlled access. 2) Coverage bias: WoS and other databases may underrepresent non‑English or regionally published work (for example local journals indexed in CNKI), causing geographic bias. 3) Translation errors: machine translations can misclassify non‑English abstracts; human translation budget may limit full validation. 4) Author disambiguation errors: algorithmic clustering may conflate or split author identities, especially without ORCID; manual curation is time-consuming. 5) Heterogeneous reporting: inconsistent dose and outcome reporting will limit meta-analytic opportunities and may force imputation or restrict synthesis. 6) Cluster instability: low modularity or silhouette values may require multiple reruns and subjective labeling. 7) Computational limits: large networks and sensitivity sweeps may need substantial memory/CPU and time. 8) Generalization limits: bibliometric patterns reflect publication behavior and may not map directly to clinical effectiveness or practice uptake. 9) Risk of false positives: broad search terms may retrieve irrelevant records despite filters, increasing curation workload.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