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aesthetics_comparativeness_islam_observed</w:t>
      </w:r>
    </w:p>
    <w:p>
      <w:r>
        <w:t xml:space="preserve"> </w:t>
      </w:r>
    </w:p>
    <w:p>
      <w:pPr>
        <w:pStyle w:val="Heading2"/>
      </w:pPr>
      <w:r>
        <w:t>Title</w:t>
      </w:r>
    </w:p>
    <w:p>
      <w:r>
        <w:t>Mixed-methods comparative ethnography and quantitative poetics to measure how aesthetic codes shape Islamic practice in Morocco and Indonesia</w:t>
      </w:r>
    </w:p>
    <w:p>
      <w:r>
        <w:t xml:space="preserve"> </w:t>
      </w:r>
    </w:p>
    <w:p>
      <w:pPr>
        <w:pStyle w:val="Heading2"/>
      </w:pPr>
      <w:r>
        <w:t>Short Hypothesis</w:t>
      </w:r>
    </w:p>
    <w:p>
      <w:r>
        <w:t>Higher measured figurative density in texts and greater prosodic variance in performances cause higher documented audience reception intensity, controlling for site and speaker characteristics.</w:t>
      </w:r>
    </w:p>
    <w:p>
      <w:r>
        <w:t xml:space="preserve"> </w:t>
      </w:r>
    </w:p>
    <w:p>
      <w:pPr>
        <w:pStyle w:val="Heading2"/>
      </w:pPr>
      <w:r>
        <w:t>Related Work</w:t>
      </w:r>
    </w:p>
    <w:p>
      <w:r>
        <w:t>Prior work combines ethnography, literary study, and digital humanities to describe aesthetics in Islamic practice, often using close readings, participant observation, and archival description. Computational poetics and digital audio analysis have been applied separately to detect metaphors or measure prosody, but typically in single-language or single-site studies. Comparative literature approaches have theorized 'aura' and intertextuality but rarely operationalized them as repeatable metrics. Limitations in existing approaches include (1) weak cross-site comparability because methods and units vary, (2) lack of validated, mixed lexicon-plus-human protocols for figurative detection across languages, (3) small or non-representative samples that limit generalization, (4) limited integration of performative (audio) measures with textual metrics, and (5) insufficient documentation of translation and community governance that affects reuse and interpretation.</w:t>
      </w:r>
    </w:p>
    <w:p>
      <w:r>
        <w:t xml:space="preserve"> </w:t>
      </w:r>
    </w:p>
    <w:p>
      <w:pPr>
        <w:pStyle w:val="Heading2"/>
      </w:pPr>
      <w:r>
        <w:t>Abstract</w:t>
      </w:r>
    </w:p>
    <w:p>
      <w:r>
        <w:t>This study tests whether measurable poetics features of texts and performances predict audience reception across Moroccan and Indonesian Islamic sites. We combine comparative ethnography with formal poetics metrics: figurative density in texts, intertextual citation rates, and prosodic variance in recordings. Data come from parallel node sampling (urban reformist mosque, Sufi/pesantren community, craft quarter, provincial madrasa, diaspora hubs) and a multimodal corpus of interviews, time-aligned transcripts, performances, material objects, and vernacular texts. The main contribution is a reproducible mixed-methods pipeline that (1) operationalizes 'literary aura' with validated lexicon-plus-adjudication detection for figurative language, (2) links textual and audio measures via multilevel statistical models, and (3) pairs quantitative results with short ethnographic vignettes to preserve local meaning. Expected outcomes are validated poetics measures, evidence for how aesthetic form relates to reception, and openly documented resources (codebook, TEI samples, preregistration) to support comparative research and community-informed archiving.</w:t>
      </w:r>
    </w:p>
    <w:p>
      <w:r>
        <w:t xml:space="preserve"> </w:t>
      </w:r>
    </w:p>
    <w:p>
      <w:pPr>
        <w:pStyle w:val="Heading2"/>
      </w:pPr>
      <w:r>
        <w:t>Methodology</w:t>
      </w:r>
    </w:p>
    <w:p>
      <w:r>
        <w:t>1) Sampling and data collection: follow the parallel node design (5 node types per country, two diaspora hubs). Collect 12–15 semi-structured interviews per primary site, 6–8 recorded events per site, 80–120 texts per country, and material object inventories. 2) Transcription and glossing: produce time-aligned transcripts for audio; gloss with orthographic transcription, literal gloss (word-for-word), and short interpretive note. Maintain a cross-site glossing dictionary. 3) Translation QA: back-translate 20% of routine items and 70% of high-stakes poetics items; log decisions. 4) Poetics extraction: (a) figurative density = count of metaphorical expressions per 1,000 words using a lexicon of candidate markers plus human adjudication; (b) intertextuality = explicit citations per 1,000 words; (c) prosodic variance = standard deviation of pitch (Hz) and amplitude per event-minute extracted with Praat (Praat is software for speech/sound analysis). 5) Coding and reliability: double-code items with at least four bilingual coders; compute Cohen's kappa for descriptive codes and poetics codes. (Cohen's kappa measures agreement between coders beyond chance.) 6) Data model and normalization: normalize textual metrics per 1,000 words and performance metrics per minute; store all metadata in TEI-XML and Dublin Core fields. 7) Analysis: fit multilevel models with texts/performances nested in site (site random effects) to test the effect of poetics measures on reception intensity. Also run mediation models where textual poetics influence prosodic modulation which then affects reception. 8) Mixed outputs: for each quantitative finding produce a 300–600 word ethnographic vignette and translator/reflexivity note to map metric to local meaning.</w:t>
      </w:r>
    </w:p>
    <w:p>
      <w:r>
        <w:t xml:space="preserve"> </w:t>
      </w:r>
    </w:p>
    <w:p>
      <w:pPr>
        <w:pStyle w:val="Heading2"/>
      </w:pPr>
      <w:r>
        <w:t>Experiments</w:t>
      </w:r>
    </w:p>
    <w:p>
      <w:r>
        <w:t>Datasets: Pilot corpus: 2 sites (one per country), 30 coded texts, 10 time-aligned recordings. Full corpus: 12 primary nodes (5 per country + 2 diaspora), ~160–180 interviews, ~80–100 recordings, 80–120 texts per country. Baselines: (A) qualitative-only baseline (ethnographic summaries without formal metrics), (B) automated-lexicon baseline (automated metaphor counts without human adjudication), (C) poetics-text-only model (exclude audio measures). Evaluation metrics: • Prediction tasks: continuous outcome reception intensity index → report multilevel regression coefficients, standard errors (cluster-robust), p-values, effect sizes (Cohen's d), and conditional R^2. • Detection tasks: automated metaphor detection → precision, recall, F1, and confusion matrix. • Coding reliability: Cohen's kappa stratified by code type. • Model fit: AIC and BIC for model comparison; RMSE for continuous predictions. Experimental setup: 1) Preprocess transcripts and audio; extract poetics features per normalization rules (per 1,000 words, per minute). 2) Validation of automated markers: run automated detection on pilot texts, compare to adjudicated gold standard to compute precision/recall. 3) Main predictive test: fit multilevel linear models predicting reception intensity from figurative density, intertextuality, and prosodic variance, with site random effects and controls (speaker role, age, gender). Use cluster-robust standard errors and multiple imputation for missing covariates. 4) Mediation test: test textual poetics → prosodic variance → reception using multilevel mediation with bootstrap confidence intervals. 5) Cross-validation: leave-one-site-out cross-validation for prediction robustness. 6) Ablation studies: (i) remove prosodic features to test audio contribution; (ii) replace adjudicated metaphor counts with automated-lexicon only to test human adjudication value; (iii) remove gloss/translation layer to assess translation impact on model performance. 7) Power and sensitivity: run Monte Carlo simulations varying ICC (intra-class correlation) from 0.05 to 0.25 and cluster sizes to confirm detectable effect size ~d=0.5 with planned sampling. Reporting: report all model specs, priors if Bayesian models used, multiple testing correction method, and exact preprocessing steps.</w:t>
      </w:r>
    </w:p>
    <w:p>
      <w:r>
        <w:t xml:space="preserve"> </w:t>
      </w:r>
    </w:p>
    <w:p>
      <w:pPr>
        <w:pStyle w:val="Heading2"/>
      </w:pPr>
      <w:r>
        <w:t>Risk Factors And Limitations</w:t>
      </w:r>
    </w:p>
    <w:p>
      <w:r>
        <w:t>1) Technical failure modes: low intercoder reliability (Cohen's kappa below planned thresholds) undermining code validity; automated metaphor detection may have low precision/recall across languages. 2) Data biases: sampling frame may under-represent gendered or minority aesthetic practices (e.g., Amazigh registers), producing biased inferences. 3) Legal and ethical constraints: IRB, national permissions, or community embargoes may limit data sharing or reduce usable sample sizes. 4) Statistical issues: high ICCs or smaller-than-expected effect sizes may reduce power; clustered dependence could invalidate simple tests. 5) Translation limits: untranslatable registers and ethnopoetic forms may be lost in glossing and distort metrics. 6) Scalability and compute: large audio processing (pitch extraction) and photogrammetry require compute and storage resources. 7) Generalization: results will be specific to Moroccan and Indonesian nodes sampled and may not generalize to other Islamic contexts. 8) Reductionism: numeric poetics measures risk oversimplifying local meanings; metrics alone cannot fully capture aesthetic value.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