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thermalscapes_informal_shading_cuiaba</w:t>
      </w:r>
    </w:p>
    <w:p>
      <w:r>
        <w:t xml:space="preserve"> </w:t>
      </w:r>
    </w:p>
    <w:p>
      <w:pPr>
        <w:pStyle w:val="Heading2"/>
      </w:pPr>
      <w:r>
        <w:t>Title</w:t>
      </w:r>
    </w:p>
    <w:p>
      <w:r>
        <w:t>Ethnographic and participatory-biosensing study of informal shading effects on thermal comfort and thermalscapes in Cuiabá, Brazil</w:t>
      </w:r>
    </w:p>
    <w:p>
      <w:r>
        <w:t xml:space="preserve"> </w:t>
      </w:r>
    </w:p>
    <w:p>
      <w:pPr>
        <w:pStyle w:val="Heading2"/>
      </w:pPr>
      <w:r>
        <w:t>Short Hypothesis</w:t>
      </w:r>
    </w:p>
    <w:p>
      <w:r>
        <w:t>Informal shading reduces mean radiant temperature (Tmrt) and UTCI at pedestrian height and thereby causes lower wrist skin temperature and higher momentary perceived thermal comfort (VAS) among shoppers and vendors during peak heat periods.</w:t>
      </w:r>
    </w:p>
    <w:p>
      <w:r>
        <w:t xml:space="preserve"> </w:t>
      </w:r>
    </w:p>
    <w:p>
      <w:pPr>
        <w:pStyle w:val="Heading2"/>
      </w:pPr>
      <w:r>
        <w:t>Related Work</w:t>
      </w:r>
    </w:p>
    <w:p>
      <w:r>
        <w:t>Existing work on urban thermalscapes uses three main approaches: (1) fixed microclimate stations and globe thermometers to map Tmrt/UTCI at coarse locations, (2) thermal comfort modeling that applies standard indices (like UTCI) but often uses temperate-zone comfort thresholds, and (3) participatory biosensing or ethnography deployed separately to document human experience. Limitations: station-based approaches miss fine-grained pedestrian exposure and dynamic shade; standard comfort thresholds do not reflect tropical adaptation; many biosensing studies lack precise environmental coupling and spatial context; ethnographies document practices but rarely provide objective physiological linkage. Common weaknesses are limited within-person repeated measures, inadequate sensor synchronization, sparse calibration reporting for portable globe sensors, weak causal identification for selection into shade, and insufficient data governance for sensitive GPS traces. These gaps leave unresolved how informal shading practices causally alter thermalscapes and embodied comfort in hot retail corridors.</w:t>
      </w:r>
    </w:p>
    <w:p>
      <w:r>
        <w:t xml:space="preserve"> </w:t>
      </w:r>
    </w:p>
    <w:p>
      <w:pPr>
        <w:pStyle w:val="Heading2"/>
      </w:pPr>
      <w:r>
        <w:t>Abstract</w:t>
      </w:r>
    </w:p>
    <w:p>
      <w:r>
        <w:t>This study investigates how informal shading practices shape local thermalscapes and thermal comfort in a hot Brazilian city centre (Cuiabá) by combining urban ethnography with participatory biosensing. We collect synchronized time-series of personal physiology (wrist skin temperature, heart rate, galvanic skin response, accelerometry), ambient microclimate (air temperature, humidity, wind, shortwave and longwave radiation, globe-derived Tmrt), GPS trajectories, and momentary perceived comfort (visual analog scale) across multiple retail corridors and two seasons. The main contribution is an empirically calibrated linkage between shade types, objective thermal indices (Tmrt, UTCI), and embodied responses using within-person sun↔shade contrasts and mixed-effects time-series models. Expected outcomes are locally valid adaptive comfort thresholds, spatial thermalscape maps tied to physiological stress, and actionable evidence on the thermal efficacy of informal shading for vendors and shoppers. The integration of qualitative shading typologies with biosensor traces supports interpretability and policy relevance for heat-resilient retail design.</w:t>
      </w:r>
    </w:p>
    <w:p>
      <w:r>
        <w:t xml:space="preserve"> </w:t>
      </w:r>
    </w:p>
    <w:p>
      <w:pPr>
        <w:pStyle w:val="Heading2"/>
      </w:pPr>
      <w:r>
        <w:t>Methodology</w:t>
      </w:r>
    </w:p>
    <w:p>
      <w:r>
        <w:t>1) Site selection: choose four corridor typologies (formal retail street, market alley, mixed-use plaza, vendor-dense sidewalk) in central Cuiabá. 2) Recruitment: enroll repeated participants (vendors and shoppers) for within-person sun↔shade transitions; collect in two seasons (dry/wet). 3) Sensors and signals: deploy wearable biosensors (wrist skin temperature, PPG heart rate, galvanic skin response/GSR, tri-axial accelerometer), personal ambient logger (air temp, RH), portable 50 mm black globe for globe temperature (Tg), shortwave sensor (pyranometer or calibrated photodiode), handheld anemometer. Explain: UTCI is a thermal stress index combining air temp, humidity, wind and mean radiant temperature (Tmrt); Tmrt is the effective radiant temperature experienced by a person and is computed from globe, air, and wind. 4) Ethnography and EMA: conduct participant observation and short EMA prompts in Portuguese asking instantaneous comfort, activity, and shading behavior. 5) Calibration &amp; QC: perform paired 50 mm vs 150 mm globe checks in pilot, daily field zero checks for sensors, and redundancy subsamples (chest-strap HR, duplicate skin temp) to validate signals. 6) Time sync: use an NTP-synced master smartphone and documented sync events (photo + clap) to align streams. 7) Data integration: merge timestamped biosensor, environmental, GPS, and ethnographic logs into a unified time-series per participant. 8) Analysis: (a) compute UTCI and Tmrt per timestamp; (b) run mixed-effects models/GAMMs with participant nested in site, AR(1) residuals, and fixed effects including UTCI/Tmrt, shade fraction/type, shortwave radiation, accelerometer-derived activity (ENMO or MET proxy), time-of-day and season; (c) derive adaptive comfort thresholds by linking UTCI/Tmrt to VAS via ROC and mixed models. Terms explained simply: ENMO is a processed accelerometer measure that estimates movement intensity; EMA means ecological momentary assessment, a short on-the-spot survey.</w:t>
      </w:r>
    </w:p>
    <w:p>
      <w:r>
        <w:t xml:space="preserve"> </w:t>
      </w:r>
    </w:p>
    <w:p>
      <w:pPr>
        <w:pStyle w:val="Heading2"/>
      </w:pPr>
      <w:r>
        <w:t>Experiments</w:t>
      </w:r>
    </w:p>
    <w:p>
      <w:r>
        <w:t>Dataset: field-collected multimodal dataset: biosensor streams (skin temp 1 Hz, accelerometer 25–50 Hz, PPG per device), ambient logs (10–60 s epochs), globe Tg (1 Hz when possible), shortwave/longwave radiation, GPS trajectories, EMA responses, and ethnographic shading codes. Sampling plan: 4 sites × 30 participants per site per season with repeated within-person sun↔shade transitions (240 participant-sessions total); pilot: 1 site, n=8–12. Baselines: (A) no-shade exposures (direct sun segments), (B) environmental-only baseline using stationary microclimate sensors, (C) biosensor-absent baseline (only ambient + EMA). Metrics: primary — mean change in wrist skin temperature (°C) and mean VAS comfort difference (0–100); secondary — UTCI/Tmrt differences, heart rate change (bpm), GSR change (μS), model effect sizes (β) and 95% CI, AUC of ROC for UTCI thresholds, RMSE of predicted VAS in cross-validation, mixed-model AIC. Experimental setup: collect synchronized streams during morning-to-afternoon windows capturing peak solar periods; log repeated sun↔shade transitions per participant; record standardized activity baselines per participant (seated, standing, slow/normal/brisk walk) to map accelerometer→MET. Analysis pipeline: (1) pre-process signals and apply artifact rules; (2) compute UTCI/Tmrt; (3) fit mixed-effects GAMMs with AR(1) errors and cubic splines for time-of-day; (4) test within-person contrasts (sun vs shade) via paired estimates; (5) alternative causal models: propensity-score weighting on time-varying covariates and time-varying fixed effects; (6) sensitivity analyses: (i) ablation A — remove biosensor data and fit models using ambient+EMA only, (ii) ablation B — replace pyranometer with photodiode-derived shortwave to compare sensor impact, (iii) ablation C — compare within-person contrasts vs propensity-weighted estimates to assess selection bias. Evaluation: report paired effect sizes with p-values, mixed-model fixed-effect estimates, cross-validated RMSE, AUC for comfort thresholds, and robustness of causal estimates across ablations.</w:t>
      </w:r>
    </w:p>
    <w:p>
      <w:r>
        <w:t xml:space="preserve"> </w:t>
      </w:r>
    </w:p>
    <w:p>
      <w:pPr>
        <w:pStyle w:val="Heading2"/>
      </w:pPr>
      <w:r>
        <w:t>Risk Factors And Limitations</w:t>
      </w:r>
    </w:p>
    <w:p>
      <w:r>
        <w:t>1) Technical failures: wearable or environmental sensor malfunction, battery depletion, clock drift, and data loss exceeding planned thresholds. 2) Calibration errors: portable 50 mm globe conversion to Tmrt may retain bias if paired-calibration is insufficient. 3) Signal artifacts: motion, poor PPG quality, or GSR noise may reduce usable biosensor data. 4) Selection bias: participants and vendors may self-select shaded positions, complicating causal attribution. 5) Confounding: unmeasured variables (hydration, clothing, recent activity) can affect physiology and perceived comfort. 6) Safety risks: heat illness incidents in field; operational burden for medical oversight. 7) Privacy risk: dense GPS traces may re-identify participants if not strictly governed. 8) Generalization limits: results reflect Cuiabá climates and informal retail cultures and may not generalize to temperate cities. 9) Computation and storage: large time-series fusion and spatial processing require sufficient storage and processing pipelines. 10) Regulatory constraints: compliance with LGPD and local IRB may constrain data sharing and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