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rural_winery_resilience</w:t>
      </w:r>
    </w:p>
    <w:p>
      <w:r>
        <w:t xml:space="preserve"> </w:t>
      </w:r>
    </w:p>
    <w:p>
      <w:pPr>
        <w:pStyle w:val="Heading2"/>
      </w:pPr>
      <w:r>
        <w:t>Title</w:t>
      </w:r>
    </w:p>
    <w:p>
      <w:r>
        <w:t>Measuring robustness, adaptability, and transformability in Spanish wineries using confirmatory factor analysis and OLS modeling</w:t>
      </w:r>
    </w:p>
    <w:p>
      <w:r>
        <w:t xml:space="preserve"> </w:t>
      </w:r>
    </w:p>
    <w:p>
      <w:pPr>
        <w:pStyle w:val="Heading2"/>
      </w:pPr>
      <w:r>
        <w:t>Short Hypothesis</w:t>
      </w:r>
    </w:p>
    <w:p>
      <w:r>
        <w:t>Higher firm-level innovation intensity and stronger rural commitment increase measured resilience in Spanish wineries, raising latent scores of robustness, adaptability, and transformability.</w:t>
      </w:r>
    </w:p>
    <w:p>
      <w:r>
        <w:t xml:space="preserve"> </w:t>
      </w:r>
    </w:p>
    <w:p>
      <w:pPr>
        <w:pStyle w:val="Heading2"/>
      </w:pPr>
      <w:r>
        <w:t>Related Work</w:t>
      </w:r>
    </w:p>
    <w:p>
      <w:r>
        <w:t>Existing research on winery and rural agro-industry resilience uses survey-based descriptive studies, factor analysis, and standard regression to link firm resources and strategies to adaptive outcomes. Prior approaches show that innovation and territorial embeddedness correlate with resilience, but they often rely on additive indices, do not model measurement error explicitly, and provide limited causal identification. Common weaknesses include small or convenience samples, scant treatment of ordinal survey items, incomplete invariance testing across subgroups, limited handling of missing data, and few robustness checks for endogeneity or spatial clustering. Few studies pre-specify interaction tests between internal attributes and perceived external challenges, and few integrate multilevel mediation analysis to trace pathways from innovation to higher-order resilience. This leaves open questions about measurement validity, causal interpretation, and subgroup comparability.</w:t>
      </w:r>
    </w:p>
    <w:p>
      <w:r>
        <w:t xml:space="preserve"> </w:t>
      </w:r>
    </w:p>
    <w:p>
      <w:pPr>
        <w:pStyle w:val="Heading2"/>
      </w:pPr>
      <w:r>
        <w:t>Abstract</w:t>
      </w:r>
    </w:p>
    <w:p>
      <w:r>
        <w:t>This study analyzes how internal firm attributes shape resilience capacities in rural agro-industries by focusing on 411 Spanish wineries. We treat resilience as three latent dimensions—robustness, adaptability, and transformability—and estimate these dimensions using confirmatory factor analysis that accounts for ordinal survey responses. We then model how innovation intensity, rural commitment, firm size, and perceived economic, environmental, and social challenges predict each resilience dimension using ordinary least squares and complementary identification strategies. The main contribution is a defensible, pre-specified pipeline that combines improved measurement of resilience, targeted interaction tests (internal attributes × external challenges), multiple-imputation for missing data, invariance checks across ownership and size, and a set of robustness checks including instrumental-variable diagnostics and multilevel mediation. Expected outcomes are validated latent resilience measures, quantified effect sizes for internal drivers and interactions, and actionable evidence to inform firm strategy and regional policy for rural agro-industries.</w:t>
      </w:r>
    </w:p>
    <w:p>
      <w:r>
        <w:t xml:space="preserve"> </w:t>
      </w:r>
    </w:p>
    <w:p>
      <w:pPr>
        <w:pStyle w:val="Heading2"/>
      </w:pPr>
      <w:r>
        <w:t>Methodology</w:t>
      </w:r>
    </w:p>
    <w:p>
      <w:r>
        <w:t>1) Measurement: use exploratory factor analysis (EFA, promax) to check item groups, then confirmatory factor analysis (CFA) with an estimator appropriate for ordinal Likert items (for example, WLSMV using polychoric correlations). Save CFA regression factor scores as primary resilience measures. Also compute PCA-derived factors and standardized additive indices for sensitivity. 2) Invariance: run multi-group CFA to test configural, metric, scalar invariance across ownership (cooperative vs private), size (small vs medium/large), and remoteness. Report CFI, TLI, RMSEA, SRMR and use ΔCFI &lt; 0.01 as the invariance rule. 3) Missing data: implement multiple imputation (m = 30) including auxiliary variables; inspect fraction of missing information and convergence diagnostics. 4) Main regressions: preregister an OLS template for each latent outcome: Res_i = α + β1 Internal_i + β2 Challenges_i + β3 (Internal×Challenges)_i + γControls_i + FE + ε_i. Center continuous predictors before interactions and report both unstandardized and standardized coefficients. Controls include firm size, age, cooperative status, export share, DO/province fixed effects; cluster SEs at municipality. 5) Endogeneity checks: pre-specify IV candidates (regional broadband rollout timing, regional R&amp;D/grant intensity, distance to research centers), require first-stage F&gt;10, and run LIML, AR, and CLR weak-IV tests. 6) Pathways: estimate multilevel SEM (firms nested in municipalities) to test mediation (innovation → adaptability → transformability) with bootstrapped indirect effects. 7) Robustness: run HC3 SEs, spatial tests (Moran’s I), influence diagnostics (Cook’s D), PCA vs CFA comparisons, quantile regressions, and FDR correction within primary hypothesis family.</w:t>
      </w:r>
    </w:p>
    <w:p>
      <w:r>
        <w:t xml:space="preserve"> </w:t>
      </w:r>
    </w:p>
    <w:p>
      <w:pPr>
        <w:pStyle w:val="Heading2"/>
      </w:pPr>
      <w:r>
        <w:t>Experiments</w:t>
      </w:r>
    </w:p>
    <w:p>
      <w:r>
        <w:t>Data: survey of N=411 Spanish wineries with Likert items mapped to robustness, adaptability, transformability plus objective covariates (turnover, employees, hectares, export share, coop status, region). Baselines: (A) OLS using CFA latent scores; (B) OLS using PCA factors; (C) OLS using standardized additive indices; (D) complete-case OLS; (E) multilevel OLS with municipality random intercepts. Metrics: CFA fit (CFI, TLI, RMSEA, SRMR), reliability (Cronbach's alpha, composite reliability), model fit (R2, adjusted R2), partial R2 for key predictors, coefficient significance (two-sided p-values), effect sizes (standardized betas), first-stage F-statistics for IVs, bootstrapped indirect effects with 95% CIs for mediation, and diagnostics (VIF, Cook’s D, Moran’s I). Setup: impute missing data (m=30) and run each baseline on each imputed dataset, pool estimates via Rubin's rules. Cluster standard errors by municipality and apply Benjamini–Hochberg FDR correction across the primary hypothesis family. Ablation: compare results when using CFA vs PCA vs additive indices to assess measurement choice impact. IV comparison: run OLS, IV (when instruments valid), LIML, and weak-IV-robust AR/CLR tests; report changes in sign, magnitude, and significance. Subgroup tests: three pre-specified splits (ownership, size, remoteness) with MDE tables reported; treat underpowered splits as exploratory. Report all pre-registered diagnostics and record any deviations in an analysis decision log prior to unblinding.</w:t>
      </w:r>
    </w:p>
    <w:p>
      <w:r>
        <w:t xml:space="preserve"> </w:t>
      </w:r>
    </w:p>
    <w:p>
      <w:pPr>
        <w:pStyle w:val="Heading2"/>
      </w:pPr>
      <w:r>
        <w:t>Risk Factors And Limitations</w:t>
      </w:r>
    </w:p>
    <w:p>
      <w:r>
        <w:t>1) Cross-sectional design limits causal claims and cannot capture dynamics such as time-to-recover after shocks. 2) Endogeneity: internal attributes may be endogenous to unobserved firm traits; instruments may be weak or fail exclusion restrictions. 3) Measurement: ordinal items may not load cleanly; items with high cross-loadings or low loadings could undermine latent constructs. 4) Missing data: if data are missing not at random (MNAR), multiple imputation may be biased. 5) Subgroup inference: small cell sizes in some regions or ownership types reduce power and risk false negatives. 6) Spatial dependence: unmodeled spatial autocorrelation may bias SEs and coefficients. 7) Common-method bias: self-reported items can inflate relationships. 8) External validity: findings from Spanish wineries may not generalize to other countries or agro-industries. 9) Compute: bootstrap SEMs and many imputations increase computational time and require reproducible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