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fruit_voucher_rct_nv_ng</w:t>
      </w:r>
    </w:p>
    <w:p>
      <w:r>
        <w:t xml:space="preserve"> </w:t>
      </w:r>
    </w:p>
    <w:p>
      <w:pPr>
        <w:pStyle w:val="Heading2"/>
      </w:pPr>
      <w:r>
        <w:t>Title</w:t>
      </w:r>
    </w:p>
    <w:p>
      <w:r>
        <w:t>A randomized controlled trial of fruit vouchers to increase fruit affordability and consumption in peri-urban and urban Nigeria and Vietnam</w:t>
      </w:r>
    </w:p>
    <w:p>
      <w:r>
        <w:t xml:space="preserve"> </w:t>
      </w:r>
    </w:p>
    <w:p>
      <w:pPr>
        <w:pStyle w:val="Heading2"/>
      </w:pPr>
      <w:r>
        <w:t>Short Hypothesis</w:t>
      </w:r>
    </w:p>
    <w:p>
      <w:r>
        <w:t>Providing monthly fruit vouchers that reduce the effective price of fresh fruit by about 30% will increase household adult-equivalent fruit servings per adult-equivalent per day relative to no voucher.</w:t>
      </w:r>
    </w:p>
    <w:p>
      <w:r>
        <w:t xml:space="preserve"> </w:t>
      </w:r>
    </w:p>
    <w:p>
      <w:pPr>
        <w:pStyle w:val="Heading2"/>
      </w:pPr>
      <w:r>
        <w:t>Related Work</w:t>
      </w:r>
    </w:p>
    <w:p>
      <w:r>
        <w:t>Previous studies have tested subsidies, vouchers, or price incentives to raise healthy food consumption, showing positive effects in some high-income and limited low- and middle-income contexts. Existing approaches often use simple cash transfers, one-off subsidies, or small pilots without full measurement validation. Common limitations are: weak harmonization of consumption units (no adult-equivalent standard), reliance on short recall windows without validation, limited attention to supply-side constraints and vendor behavior, insufficient pre-specified statistical analysis plans (SAPs) and power calculations for clustered designs, sparse use of objective biomarkers, and poor handling of contamination/spillovers in dense urban markets. These gaps reduce comparability across sites, leave seasonality and market responses under-addressed, and constrain causal interpretation when shopping networks cross trial arms.</w:t>
      </w:r>
    </w:p>
    <w:p>
      <w:r>
        <w:t xml:space="preserve"> </w:t>
      </w:r>
    </w:p>
    <w:p>
      <w:pPr>
        <w:pStyle w:val="Heading2"/>
      </w:pPr>
      <w:r>
        <w:t>Abstract</w:t>
      </w:r>
    </w:p>
    <w:p>
      <w:r>
        <w:t>Low fruit consumption in urbanizing areas contributes to poor diet quality. We propose a pre-registered randomized controlled trial in peri-urban and urban sites in Nigeria and Vietnam testing whether monthly vouchers that lower the effective price of fresh fruit increase adult-equivalent fruit intake. Households will be randomized to control, a moderate-value voucher (~30% price reduction), or a higher-value voucher (~60% reduction). Primary outcome is adult-equivalent fruit servings per adult-equivalent per day computed from a 7-day household recall, validated with a stratified 24-hour recall sub-sample. The design pre-specifies voucher calibration from baseline prices, pilot rules for switching to cluster randomization when vendor sharing is high, weekly vendor price/stock monitoring, and an optional biomarker sub-sample (plasma vitamin C/carotenoids). Analysis will use intention-to-treat ANCOVA with baseline controls, cluster-robust SEs, and ruled multiplicity. The main contribution is a harmonized, operational, and pre-registrable protocol that jointly measures demand effects, market responses, and equity, producing evidence to inform scalable nutrition policy in two distinct LMIC urban settings.</w:t>
      </w:r>
    </w:p>
    <w:p>
      <w:r>
        <w:t xml:space="preserve"> </w:t>
      </w:r>
    </w:p>
    <w:p>
      <w:pPr>
        <w:pStyle w:val="Heading2"/>
      </w:pPr>
      <w:r>
        <w:t>Methodology</w:t>
      </w:r>
    </w:p>
    <w:p>
      <w:r>
        <w:t>1) Sample and recruitment: Enroll peri-urban and urban households in selected sites in Nigeria and Vietnam. Aim for randomization at the household by default. Use stratified sampling by site, baseline fruit intake tertile, and SES tertile. 2) Pilot: Run a 4–6 week pilot (~50–100 households and 15–25 vendors per country) to test voucher flow, vendor mapping, mobile coverage, and shared-vendor rates. If &gt;25% households in a stratum share primary vendors (measured in pilot), switch to cluster randomization by market/neighborhood. 3) Voucher calibration: Conduct baseline vendor price survey (price per 80 g serving) and compute baseline household monthly fruit expenditure from 7-day recall. Face value option A: voucher = target_reduction × baseline_monthly_expenditure. Option B: per-serving voucher = target_% × median_price_per_serving. Maintain a rolling 4-week price index to trigger recalibration when index shifts ≥10% for two consecutive weeks. 4) Delivery: Issue monthly vouchers (30-day validity) with unique IDs; use digital (QR/USSD/mobile-money) where pilot coverage ≥70%, otherwise tamper-resistant paper vouchers validated at POS. 5) Measurement: Primary instrument is a household 7-day fruit recall converted to daily servings using 80 g per serving and an adult-equivalent (AE) conversion table (AE weights based on energy requirements by age/sex). Validate with a 20% stratified 24-hour recall sub-sample. Optional biomarker sub-sample (~200 participants/country) for plasma vitamin C and carotenoids. Collect vendor price/stock weekly and redemption logs with GPS timestamps. 6) Analysis: Pre-register SAP. Primary analysis is ITT using ANCOVA: endline_servings = α + β·treatment + γ·baseline_servings + strata_FE + covariates, with cluster-robust SEs at randomization unit. Handle missing data via multiple imputation (m=20) and IPW sensitivity; pre-specify Lee bounds for attrition sensitivity. Define primary contrast hierarchy (control vs moderate primary), gatekeeping alpha, and a limited set of heterogeneity tests (≤5). 7) Process rules: Pre-define fraud flags, vendor reimbursement cadence (target 48–72 hours), and go/no-go pilot thresholds (≥50% redemption among treated, vendor reimburse ≤72 hours, fraud &lt;2%). 8) Terms explained: adult-equivalent (AE) is a multiplier that converts individuals to a standard energy-requirement unit; ANCOVA (analysis of covariance) is a regression that adjusts for baseline outcome to improve precision; ITT (intention-to-treat) analyzes participants by assigned arm regardless of compliance; ICC (intracluster correlation) measures similarity within clusters used if cluster randomization is adopted.</w:t>
      </w:r>
    </w:p>
    <w:p>
      <w:r>
        <w:t xml:space="preserve"> </w:t>
      </w:r>
    </w:p>
    <w:p>
      <w:pPr>
        <w:pStyle w:val="Heading2"/>
      </w:pPr>
      <w:r>
        <w:t>Experiments</w:t>
      </w:r>
    </w:p>
    <w:p>
      <w:r>
        <w:t>Dataset: Household surveys (baseline, midline, endline) with 7-day recalls; 24-hour recall validation sub-sample (~20% per country); vendor price and stock weekly logs; voucher redemption logs with timestamps and vendor GPS; biomarker lab data if collected (~200 participants/country). Arms: Control (no voucher), Moderate voucher (~30% price reduction), High voucher (~60% price reduction). Optional info-only arm if budget permits. Baselines for comparison: control arm outcomes and pre-intervention household measures. Primary outcome: adult-equivalent fruit servings per adult-equivalent per day (servings/day AE). Secondary outcomes: redemption rate, household fruit expenditure, plasma vitamin C and carotenoids (if available), intra-household allocation measures, vendor price changes. Evaluation metrics: ITT point estimates β and 95% cluster-robust confidence intervals for ANCOVA; CACE (complier average causal effect) via IV using assignment as instrument; proportion redeemed; biomarker mean differences (SD units); subgroup interaction coefficients. Statistical setup: ANCOVA with baseline outcome, strata fixed effects, covariates (AE household size, presence of &lt;5y, baseline SES, distance to market), clustering at randomization unit. Missing data: multiple imputation (m=20); attrition sensitivity via Lee bounds and worst-case MNAR. Power/sample-size examples: assume baseline mean 0.8 servings/day AE and SD range 1.0–1.4. For individual randomization (α=0.05, 80% power, SD=1.2) detecting Δ=0.25 servings requires ≈356 households per arm (~1,068 total for 3 arms). If cluster randomization with m=20 and ICC 0.01–0.05 (design effect ≈1.19–1.95), required total per country inflates to ≈850–1,390 households. Biomarker sub-sample n≈200/country yields ~80% power to detect ≈0.35 SD biomarker changes. Comparison/ablation studies: (A) modality ablation: compare redemption and effect sizes between digital vs paper voucher recipients; (B) arm comparison: test Control vs Moderate (primary), then Control vs High, then Moderate vs High per gatekeeping. Report pre-specified subgroup tests (≤5) for low-SES, female-headed households, and households with young children.</w:t>
      </w:r>
    </w:p>
    <w:p>
      <w:r>
        <w:t xml:space="preserve"> </w:t>
      </w:r>
    </w:p>
    <w:p>
      <w:pPr>
        <w:pStyle w:val="Heading2"/>
      </w:pPr>
      <w:r>
        <w:t>Risk Factors And Limitations</w:t>
      </w:r>
    </w:p>
    <w:p>
      <w:r>
        <w:t>1) Supply-side shocks: vendor stockouts or market price spikes can reduce voucher effectiveness and confound results. 2) Contamination/spillovers: shared vendors or household-to-household transfers may bias intention-to-treat estimates toward zero. 3) Measurement error: household 7-day recall may misreport quantities; validation sub-sample reduces but does not eliminate error. 4) Seasonal bias: fruit availability varies by month and could confound pre-post differences if waves are poorly timed. 5) Differential attrition: treated and control arms may have different drop-out rates, biasing estimates. 6) Fraud and gaming: duplicate redemptions or vendor collusion could distort redemption measures. 7) Biomarker logistics: cold-chain failures, lab capacity, or sample handling errors can invalidate biomarker data. 8) Limited external validity: urban/peri-urban results may not generalize to rural settings or other countries. 9) Budget and operational constraints: limited funds may force smaller sample sizes reducing power, or force omission of biomarkers. 10) Ethical concerns: intra-household allocation could concentrate benefits unevenly; consent and privacy rules must be followed but may limit some measurement. 11) Statistical limits: cluster randomization increases required sample size (higher cost) and ICC uncertainty may affect power calculations. 12) Market feedback: vouchers could cause local price inflation, altering effective treatment and complicating causal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