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osh_ageing_wai_study</w:t>
      </w:r>
    </w:p>
    <w:p>
      <w:r>
        <w:t xml:space="preserve"> </w:t>
      </w:r>
    </w:p>
    <w:p>
      <w:pPr>
        <w:pStyle w:val="Heading2"/>
      </w:pPr>
      <w:r>
        <w:t>Title</w:t>
      </w:r>
    </w:p>
    <w:p>
      <w:r>
        <w:t>An exploratory multilevel questionnaire study of occupational safety and health interventions and their effect on work ability and productivity in an ageing workforce</w:t>
      </w:r>
    </w:p>
    <w:p>
      <w:r>
        <w:t xml:space="preserve"> </w:t>
      </w:r>
    </w:p>
    <w:p>
      <w:pPr>
        <w:pStyle w:val="Heading2"/>
      </w:pPr>
      <w:r>
        <w:t>Short Hypothesis</w:t>
      </w:r>
    </w:p>
    <w:p>
      <w:r>
        <w:t>Higher-fidelity occupational safety and health (OSH) interventions increase work ability (short WAI) among workers aged 50+ and produce measurable gains in standardized productivity compared with low-fidelity or absent interventions.</w:t>
      </w:r>
    </w:p>
    <w:p>
      <w:r>
        <w:t xml:space="preserve"> </w:t>
      </w:r>
    </w:p>
    <w:p>
      <w:pPr>
        <w:pStyle w:val="Heading2"/>
      </w:pPr>
      <w:r>
        <w:t>Related Work</w:t>
      </w:r>
    </w:p>
    <w:p>
      <w:r>
        <w:t>Existing research uses cross-sectional surveys, single-site interventions, or administrative KPI analyses to study OSH and ageing. Many prior approaches estimate associations but do not model clustering by unit/organization or measure intervention fidelity rigorously. Randomized trials of ergonomic or organizational interventions are limited and often single-sector, reducing generalizability. Prior survey instruments frequently lack short, age‑sensitive psychometrics and rarely test measurement invariance across older age bands. Studies that include productivity commonly use nonstandard, nonharmonized KPIs, preventing cross-role comparison. Common weaknesses: failure to correct selection/healthy-worker bias, insufficient cluster-aware power calculations, limited use of multilevel mediation/moderation, sparse use of inverse-probability weighting or robust missing-data protocols, and poor reporting of fidelity and dose. These gaps leave open which intervention features and contextual drivers causally affect work ability and productivity in diverse workplaces.</w:t>
      </w:r>
    </w:p>
    <w:p>
      <w:r>
        <w:t xml:space="preserve"> </w:t>
      </w:r>
    </w:p>
    <w:p>
      <w:pPr>
        <w:pStyle w:val="Heading2"/>
      </w:pPr>
      <w:r>
        <w:t>Abstract</w:t>
      </w:r>
    </w:p>
    <w:p>
      <w:r>
        <w:t>This study maps workplace OSH interventions for ageing workers and tests whether intervention fidelity improves work ability and productivity. We use an exploratory, questionnaire-based multilevel design collecting individual (short Work Ability Index, health, presenteeism), intervention-fidelity, contextual driver/barrier, safety-climate, and role-specific productivity data across organizations and units. Main methods: a psychometrically validated modular questionnaire, pilot cognitive interviews, standardized KPI normalization (z-scores within job strata), and a pre-specified analysis using multilevel linear mixed models with clustering at unit and organization levels. We will apply inverse-probability weighting for nonresponse, multiple imputation for missing items, and multilevel mediation to test safety climate and perceived usefulness as pathways. Deliverables include a validated survey module, fidelity coding scheme, and reproducible analysis scripts. Expected outcome: transparent, reproducible estimates of the impact of OSH intervention fidelity on WAI and normalized productivity for workers aged 50+, and identification of key contextual drivers and barriers relevant for policy and workplace practice.</w:t>
      </w:r>
    </w:p>
    <w:p>
      <w:r>
        <w:t xml:space="preserve"> </w:t>
      </w:r>
    </w:p>
    <w:p>
      <w:pPr>
        <w:pStyle w:val="Heading2"/>
      </w:pPr>
      <w:r>
        <w:t>Methodology</w:t>
      </w:r>
    </w:p>
    <w:p>
      <w:r>
        <w:t>1) Instrument development: build modular questionnaire including short Work Ability Index (WAI) as primary outcome, Stanford Presenteeism Scale-6, short safety-climate items, intervention inventory with fidelity (0–4 anchors for presence, reach, dose, adherence), brief health/functional items, and KPI reporting templates. WAI: a short score measuring a worker's self-assessed ability to perform work; higher = better. 2) Accessibility and pilot: run cognitive interviews (20–30 older workers) to check wording and accessibility (large print, audio). Pilot with 50–75 respondents across sectors to estimate reliabilities and factor structure. 3) Sampling and data collection: recruit across ≥20 clusters (units/orgs) targeting N=400–600 respondents; collect employee roster metadata (age, tenure, baseline health, job physicality) to support weighting. Collect objective KPIs where available; otherwise collect supervisor-rated productivity. 4) KPI harmonization: convert each role KPI to a per‑time rate (e.g., units/hour), then compute z-score within role strata (subtract role mean, divide by role SD). Z-score: a standardized number showing how far an observation is from its role average. 5) Data processing: create fidelity index (0–4) per intervention type, link individual and organizational data, check item distributions, and code missingness patterns. 6) Primary analysis: fit multilevel linear mixed model (LMM) for continuous WAI with random intercepts for unit and organization. LMM: a regression that accounts for clustered data by allowing group-specific baseline shifts. Model includes fidelity (main exposure), covariates (age-band, sex, tenure, job physicality, chronic conditions, sector), and pre-specified interaction fidelity×age-band. 7) Mediation/moderation: test mediation by safety climate and perceived usefulness using multilevel product-of-coefficients or multilevel SEM (structural equation model). 8) Missing data and selection: apply MICE (multiple imputation by chained equations) with m=20 imputations including cluster IDs and auxiliary variables; implement inverse-probability weighting (IPW) for nonresponse using a logistic response model and stabilized weights truncated at the 99th percentile. MICE: fills missing items by modeling each variable conditionally; IPW: upweights respondents to represent nonrespondents. 9) Sensitivity analyses: pattern‑mixture delta-adjustments for MNAR, E-value calculations for unmeasured confounding, and comparisons with Bayesian multilevel models with weakly informative priors. 10) Psychometrics: run CFA to check scale structure and DIF tests between age bands (50–59 vs 60+); ΔCFI ≤0.01 considered acceptable for invariance. 11) Reproducibility: supply R scripts for data cleaning, imputation, LMM (lme4/brms), mediation, KPI normalization, and power simulations.</w:t>
      </w:r>
    </w:p>
    <w:p>
      <w:r>
        <w:t xml:space="preserve"> </w:t>
      </w:r>
    </w:p>
    <w:p>
      <w:pPr>
        <w:pStyle w:val="Heading2"/>
      </w:pPr>
      <w:r>
        <w:t>Experiments</w:t>
      </w:r>
    </w:p>
    <w:p>
      <w:r>
        <w:t>Datasets: (A) Pilot survey (N=50–75) from 3 sectors for psychometrics; (B) Main survey collected across 20–30 clusters from 4 sectors (healthcare, manufacturing, services, construction) targeting N=400–600 respondents; (C) Employer-provided KPI extracts for participating units where available; (D) Simulated datasets (1000 replications) for power and bias checks under ICC scenarios 0.02–0.08 and varying cluster sizes. Baselines: 1) naive OLS ignoring clustering; 2) LMM without IPW/MICE; 3) LMM with MICE only; 4) LMM with IPW+MICE (primary); 5) Bayesian multilevel model with weak priors. Mediation comparisons: multilevel product-of-coefficients vs multilevel SEM. Ablation studies: A1) remove fidelity index (test exposure absent); A2) use supervisor-rated productivity only vs harmonized KPI z-scores; A3) imputation m=20 vs complete-case; A4) exclude clusters with &lt;5 respondents vs include with partial pooling. Evaluation metrics: primary effect = mean WAI difference per one-unit fidelity change, reported with 95% CI, p-value, and Cohen's d; model fit = marginal and conditional R2, AIC/BIC, and ICC; mediation = indirect effect size and proportion mediated with bootstrap CI; bias diagnostics = standardized mean differences (SMD) of covariates pre/post-weighting, effective sample size (ESS) for IPW, weight max and variance; predictive performance RMSE for WAI in cross-validation. Experimental setup: run psychometric CFA on pilot data; pre-register primary analysis (LMM with IPW+MICE) and primary outcome protection; run simulation experiments (1000 runs) to verify power to detect d≈0.30 under planned N and ICCs; report all comparisons and ablations using identical covariate sets and cluster structures.</w:t>
      </w:r>
    </w:p>
    <w:p>
      <w:r>
        <w:t xml:space="preserve"> </w:t>
      </w:r>
    </w:p>
    <w:p>
      <w:pPr>
        <w:pStyle w:val="Heading2"/>
      </w:pPr>
      <w:r>
        <w:t>Risk Factors And Limitations</w:t>
      </w:r>
    </w:p>
    <w:p>
      <w:r>
        <w:t>1) Selection and healthy-worker survivor bias: nonrandom participation and prior exits may bias effect estimates and cannot be fully resolved in cross-sectional data. 2) Low response in some sectors: may reduce effective clusters or require oversampling, limiting power and generalizability. 3) Small clusters: many clusters with &lt;5 respondents reduce the reliability of cluster-level variance estimates and random-slope estimation. 4) Measurement error in KPIs: inconsistent definitions across employers may lead to noise despite z-score harmonization. 5) Missing data and MNAR: MICE assumes data are missing at random; MNAR patterns can bias imputations and mediation estimates. 6) DIF and noninvariance: core scales may function differently across age bands, complicating comparisons. 7) Limited causal identification: cross-sectional design limits causal claims about long-term effects; mediation estimates may be non-identifiable without strong assumptions. 8) Resource constraints: collecting objective KPI and fidelity documentation requires employer cooperation and may be incomplete. 9) Scalability: intensive fidelity coding, observations, and multimodal data collection increase time and staffing needs. 10) External validity: findings may not generalize to countries or sectors not sampled or to informal work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