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circular_osh_ecosystem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Cross-national mixed-methods evaluation of a circular-ecosystem approach for occupational safety and health interventions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OSH interventions designed using a circular-ecosystem framework that enforces higher value-alignment, lower feedback latency, and improved data interoperability will achieve greater multi-actor adoption and at least a 10% reduction in reported workplace incidents within 12 months compared to comparable interventions not using the framework.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occupational safety and health (OSH) interventions typically treats design, implementation, evaluation, and follow-up as linear, isolated steps. Systems approaches such as causal loop diagrams (CLDs), system dynamics (SD), agent-based models (ABM), and social network analysis (SNA) have been applied separately: SD captures aggregate feedback loops, ABM captures heterogeneous actor behavior, and SNA maps actor ties and influence. Existing mixed-methods studies often lack operationalized cross-national indicators, reproducible data-governance practices, and explicit translation rules from qualitative CLDs to quantitative SD/ABM models. Limitations include weak handling of power and conflict, little attention to SMEs and informal sectors, inconsistent semantic/ontology mapping across languages, sparse calibration anchors for models, and fragmented approaches to interoperability and cross-border data sharing. These gaps limit reproducibility, cross-country comparability, and the ability to test causal claims about multi-actor intervention processes.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a circular-ecosystem perspective improves the effectiveness and uptake of occupational safety and health (OSH) interventions across countries. We introduce a measurable framework that centers on processes, actors, and dynamics across four intervention phases (design, implementation, evaluation, follow-up) and five ecosystem elements (value, actors, data/materials/flows, circular activities, governance). Using a two-phase expert engagement (exploratory interviews then focus group), we operationalize three core indicators—value alignment, feedback latency, and interoperability—and extract actor networks and causal loop diagrams (CLDs). We provide a reproducible protocol to translate CLDs into system dynamics (SD) and agent-based models (ABM), calibrate models with Bayesian and pattern-oriented methods, and apply standardized social network analysis (SNA) metrics. Main contributions are: an operational indicator set, cross-border data governance templates, a CLD→SD/ABM mapping protocol, and pilot validation criteria. Expected outcomes include validated indicators, participant-verified ecosystem maps, calibrated prototype models, and comparative evidence on adoption and incident outcomes under the circular-ecosystem approach.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Indicator definition: create short, clear items for value alignment, latency, and interoperability. Value alignment: 5 simple questions (shared goals, perceived benefit, resource commitment, reciprocity, joint monitoring) rated 1–5. Latency: measure days between event and response. Interoperability: count metadata standard presence, API availability, and percent semantic mapping. 2) Sampling and data collection: select 4–6 countries covering governance types. In each country interview N=8–10 experts (regulator, employer/SME, worker rep, inspector, insurer, tech provider, NGO). Use semi-structured guides by ecosystem element and phase. Add short survey probes for power and conflict (resource dependence items, brief conflict style items). 3) Qualitative processing: transcribe, translate, and code interviews using a predefined codebook. Train coders 2 days and measure Cohen’s kappa for core codes. Extract actor lists and flows from transcripts to build SNA edge lists and to draw CLDs. 4) CLD to quantitative mapping: map CLD feedback loops to SD stocks and flows when aggregates dominate; encode actor rules and negotiation in ABM when heterogeneity matters. Produce mapping table: CLD variable → SD stock/flow or ABM agent attribute/rule. 5) Calibration: collect country anchors (injury rates, inspection counts, insurer metrics). Calibrate SD/ABM with Bayesian estimation (priors from literature or pilot) and pattern-oriented checks from qualitative sequences. 6) SNA: define link rules, compute degree, betweenness, eigenvector, constraint; normalize by network size. 7) Pilot and validation: run pilot in 2 countries with 3–5 experts each, produce maps, CLDs, one SD run and one ABM scenario, and participant validation feedback. Technical terms explained: CLD = a diagram of causes and feedback loops; SD = a model of aggregated stocks (quantities that accumulate) and flows (rates of change); ABM = a simulation of individual actors with rules; SNA = mapping of who connects to whom.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Expert interview transcripts and short survey probes from 4–6 countries (N=8–10 per country); (B) national OSH anchors: annual injury rates, inspection counts, compensation claims, absenteeism where available; (C) system metadata and API availability reports for interoperability scoring; (D) pilot ABM/SD model outputs. Baselines: (1) Standard intervention design without circular-ecosystem framework (historical or matched contemporary cases); (2) CLD-only qualitative mapping (no quantitative translation). Evaluation metrics: adoption rate (percentage of targeted actors implementing intervention elements), incident rate change (relative change in reported incidents at 12 months), value-alignment score (mean of 5-item scale), latency (median days), interoperability index (0–100), SNA centrality shifts (normalized degree/betweenness percentiles), coder reliability (Cohen’s kappa), model fit: posterior predictive p-value and RMSE for SD; pattern-oriented fit statistics for ABM. Experimental setup: 1) Pilot comparison: in two matched sites deploy the circular-ecosystem co-designed intervention and a standard intervention; measure outcomes at baseline and 12 months. 2) Ablation studies: (a) remove interoperability indicator from design, (b) remove power measurement, (c) run SD-only vs ABM-only for the same CLD mapping. 3) Statistical tests: compare adoption and incident rate change using difference-in-differences and mixed-effects regression with country and actor fixed effects; test value-alignment and latency differences with t-tests or Wilcoxon tests as appropriate. 4) Model validation: out-of-sample check by holding out one country's anchor data for calibration and testing; backcasting where historical anchor series exist. Required sample sizes: maintain N=8–10 interviews per country for qualitative saturation; for any survey psychometrics aim for pooled n≥150–200 per country when conducting multigroup CFA; report results when lower and use alignment/Bayesian methods. Comparison/ablation: report metric changes when each component is removed; e.g., adoption change with vs without interoperability indicator.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Sample limits: small expert N per country restricts statistical power for quantitative invariance testing; per-country psychometrics may be underpowered. 2) Data availability: anchors (injury/inspection/insurer data) may be missing or inconsistent across countries, limiting model calibration and backcasting. 3) Legal/governance barriers: cross-border data sharing may be restricted, forcing single-site custody and reducing harmonized analytics. 4) SME/informal sector coverage: hard-to-reach actors may be underrepresented, biasing findings toward formal-sector dynamics. 5) Coding bias and translation: variable translation and coder subjectivity can create measurement error; kappa targets may not be met. 6) Model limits: SD/ABM require simplifying assumptions; results may be sensitive to priors and parameter choices and may not generalize beyond sampled contexts. 7) Computational constraints: Bayesian calibration and ensemble simulations can be compute-intensive for ABM, limiting exhaustive sensitivity analysis. 8) Interpretation under uncertainty: divergent signals across methods (qualitative vs SNA vs models) may complicate actionable recommendations and limit clear causal attribution.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