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women_tourism_ai_inclusivity</w:t>
      </w:r>
    </w:p>
    <w:p>
      <w:r>
        <w:t xml:space="preserve"> </w:t>
      </w:r>
    </w:p>
    <w:p>
      <w:pPr>
        <w:pStyle w:val="Heading2"/>
      </w:pPr>
      <w:r>
        <w:t>Title</w:t>
      </w:r>
    </w:p>
    <w:p>
      <w:r>
        <w:t>A mixed-methods stepped-wedge evaluation of responsible AI interventions to reduce inclusivity barriers for women entrepreneurs in tourism</w:t>
      </w:r>
    </w:p>
    <w:p>
      <w:r>
        <w:t xml:space="preserve"> </w:t>
      </w:r>
    </w:p>
    <w:p>
      <w:pPr>
        <w:pStyle w:val="Heading2"/>
      </w:pPr>
      <w:r>
        <w:t>Short Hypothesis</w:t>
      </w:r>
    </w:p>
    <w:p>
      <w:r>
        <w:t>A responsible AI intervention (market information, capacity-building, and matchmaking), governed by a community governance board and designed using Rawlsian indicators, will cause a ≥20% relative increase in monthly revenue or measurable market access for least-advantaged women entrepreneurs in intervention clusters versus matched control clusters after 12 months.</w:t>
      </w:r>
    </w:p>
    <w:p>
      <w:r>
        <w:t xml:space="preserve"> </w:t>
      </w:r>
    </w:p>
    <w:p>
      <w:pPr>
        <w:pStyle w:val="Heading2"/>
      </w:pPr>
      <w:r>
        <w:t>Related Work</w:t>
      </w:r>
    </w:p>
    <w:p>
      <w:r>
        <w:t>Existing work applies AI for market insights, NLP for qualitative analysis, and digital tools for women entrepreneurship and tourism. Responsible AI literature emphasizes fairness audits, human-in-the-loop labeling, and governance boards for accountability. Evaluation studies in development often use quasi-experimental designs but rarely combine stepped-wedge causal designs with deep intersectional qualitative methods. Prior NLP/ASR work in low-resource, multilingual, and code-switched settings shows high error rates and limited generalizability. Limitations in current approaches include weak causal identification for equity outcomes, poor handling of intersectional sampling, lack of community governance embedded in technical pipelines, insufficient ASR/NLP safeguards for code-switching and minority languages, limited transparency of models and datasets, and scarce sustainability planning for local ownership and capacity-building.</w:t>
      </w:r>
    </w:p>
    <w:p>
      <w:r>
        <w:t xml:space="preserve"> </w:t>
      </w:r>
    </w:p>
    <w:p>
      <w:pPr>
        <w:pStyle w:val="Heading2"/>
      </w:pPr>
      <w:r>
        <w:t>Abstract</w:t>
      </w:r>
    </w:p>
    <w:p>
      <w:r>
        <w:t>This study tests whether responsibly designed AI tools can reduce barriers to inclusivity for women entrepreneurs in tourism. We combine a stepped-wedge cluster rollout of an AI-enabled package (market information, training recommendations, and buyer matchmaking) with mixed qualitative methods framed by Rawls' theory of justice. Rawlsian constructs (equal basic liberties, fair equality of opportunity, and the difference principle) are converted into measurable indicators used for targeting, monitoring, and decision rules. Data come from surveys, 45 in-depth interviews, 4–6 focus groups, and operational logs across 12–24 clusters with pre-post measurement at baseline, 6 and 12 months. NLP and ASR accelerate qualitative coding under strict human-in-the-loop rules and predefined WER and agreement thresholds. Main contributions are: (1) an operational Rawlsian indicator set tied to algorithmic triggers; (2) an evaluated, governance-integrated AI intervention with causal estimates of equity impacts; and (3) reproducible ASR/NLP validation and fairness-audit protocols for low-resource multilingual field studies. Expected outcomes include evidence on whether responsible AI increases measurable uplift for least-advantaged women and a governance blueprint for scaling inclusive AI in tourism.</w:t>
      </w:r>
    </w:p>
    <w:p>
      <w:r>
        <w:t xml:space="preserve"> </w:t>
      </w:r>
    </w:p>
    <w:p>
      <w:pPr>
        <w:pStyle w:val="Heading2"/>
      </w:pPr>
      <w:r>
        <w:t>Methodology</w:t>
      </w:r>
    </w:p>
    <w:p>
      <w:r>
        <w:t>1) Operationalization: Define Rawlsian indicators as numeric variables: digital_access_index (0-1), mobility_freq (trips/month), finance_access_rate (0-1), training_participation (0-1), revenue_per_month, and a composite least_advantaged_score (bottom decile by weighted indicators). 2) Sampling: Recruit 45 women entrepreneurs per site targets with quotas for rural/urban, caste/ethnicity, disability, age, and enterprise size; ensure at least 3 languages. 3) Design: Implement a stepped-wedge rollout across 12–24 clusters. Each cluster receives the AI package in phased steps; collect baseline, 6-month, and 12-month follow-ups. Stepped-wedge means clusters act as controls until they receive the intervention. 4) Intervention: Provide an AI-driven package that includes market-price alerts, tailored training recommendations, and buyer-match suggestions. All AI outputs include explanations and options to opt-out. 5) Governance: Institute a Community Governance Board (CGB) that approves data use, reviews fairness audits, and can pause features. 6) Data collection: Use surveys (validated items), semi-structured interviews, and focus groups. Record audio, transcribe via ASR, and post-edit as needed. 7) NLP pipeline: Run topic models and supervised classifiers to pre-code themes; human coders review ML labels. Human–ML agreement rule: accept ML label if agreement ≥80%; otherwise human label stands and transcript used for retraining. Explain technical terms: ASR = automatic speech recognition (converts audio to text); WER = word error rate (percentage of words incorrectly recognized). 8) Validation: Apply ASR WER targets (≤15% major languages, ≤25% low-resource with full human post-edit). Measure inter-rater reliability (Cohen's kappa) for human coders. 9) Analysis: Estimate treatment effects using difference-in-differences (DiD) adapted to stepped-wedge via generalized linear mixed models (GLMM) with cluster and time fixed effects. Pre-register primary outcomes, subgroup tests, and sensitivity checks. 10) Documentation and security: Maintain a Data Management Plan with encryption in transit and at rest, role-based access, retention schedules, and audit logs.</w:t>
      </w:r>
    </w:p>
    <w:p>
      <w:r>
        <w:t xml:space="preserve"> </w:t>
      </w:r>
    </w:p>
    <w:p>
      <w:pPr>
        <w:pStyle w:val="Heading2"/>
      </w:pPr>
      <w:r>
        <w:t>Experiments</w:t>
      </w:r>
    </w:p>
    <w:p>
      <w:r>
        <w:t>Datasets: 1) Collected field dataset: baseline, 6-month, 12-month surveys (entrepreneur-level); 2) Qualitative transcripts from 45 interviews and 4–6 focus groups; 3) System logs of AI recommendations and user interactions. Baselines: A) No-AI control (clusters pre-intervention); B) AI without CGB governance (ablation to test governance value); C) Human-only support (manual market advice) for NLP evaluation. Evaluation metrics: Primary: relative % change in monthly revenue and change in number of active buyer contacts at 12 months. Secondary: digital_access_index, training_participation_rate, mobility_freq, perceived_agency_score. NLP/ASR metrics: ASR WER (overall and per-language), human–ML agreement (%), inter-rater reliability (Cohen's kappa). Fairness metrics: disparate-impact ratio across groups, calibration difference across subgroups. Statistical setup: Use GLMM for stepped-wedge DiD estimation with cluster and time fixed effects; include covariates (baseline enterprise size, prior tech use). Use propensity-score matching to create supplementary matched control comparisons. Pre-specified subgroup analyses: by caste/ethnicity, disability status, rural/urban, language. Power and MDE: assume baseline prevalence p0≈0.30 for primary inclusivity metric; target 20% relative uplift; plan scenarios: 12 clusters × 25 entrepreneurs per cluster for ICC 0.01–0.03; 18–24 clusters × 30 entrepreneurs for ICC 0.04–0.08. Ablation studies: 1) Compare outcomes with CGB governance vs without governance to test governance effect; 2) Compare ML-assisted coding vs human-only coding for theme detection accuracy (F1 score); 3) Remove ASR post-editing to measure impact on NLP metrics (WER, downstream theme accuracy). Robustness checks: inverse-probability weighting for attrition, multiple imputation for missing data, Lee bounds for worst-case attrition. Report confidence intervals and p-values for primary outcomes and adjusted p-values for multiple subgroup tests.</w:t>
      </w:r>
    </w:p>
    <w:p>
      <w:r>
        <w:t xml:space="preserve"> </w:t>
      </w:r>
    </w:p>
    <w:p>
      <w:pPr>
        <w:pStyle w:val="Heading2"/>
      </w:pPr>
      <w:r>
        <w:t>Risk Factors And Limitations</w:t>
      </w:r>
    </w:p>
    <w:p>
      <w:r>
        <w:t>1) ASR/NLP failure modes: high word error rates for code-switching or minority languages can corrupt qualitative coding and automated themes. 2) Sampling and selection bias: quotas may still miss hidden subgroups; recruitment may favor more connected entrepreneurs. 3) Attrition and differential dropout: higher dropout in disadvantaged strata can bias estimates. 4) Contamination/spillover: information or features may spill across clusters, reducing causal contrast. 5) Small subgroup power: limited sample sizes per intersectional cell reduce ability to detect differences. 6) Measurement error: self-reported revenue and contacts can be noisy or misreported. 7) Governance limitations: CGB may have limited enforcement power or representativeness. 8) Privacy and security risks: breaches or inadequate key management can expose sensitive data. 9) Compute and cost limits: full human post-editing and multilingual ASR are costly and slow. 10) External validity: results may not generalize beyond the studied tourism contexts, regions, or languages.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