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thai_eldercare_altruism_norms</w:t>
      </w:r>
    </w:p>
    <w:p>
      <w:r>
        <w:t xml:space="preserve"> </w:t>
      </w:r>
    </w:p>
    <w:p>
      <w:pPr>
        <w:pStyle w:val="Heading2"/>
      </w:pPr>
      <w:r>
        <w:t>Title</w:t>
      </w:r>
    </w:p>
    <w:p>
      <w:r>
        <w:t>Experimental and observational assessment of community gendered altruistic norms on unpaid elderly caregiving in Thailand</w:t>
      </w:r>
    </w:p>
    <w:p>
      <w:r>
        <w:t xml:space="preserve"> </w:t>
      </w:r>
    </w:p>
    <w:p>
      <w:pPr>
        <w:pStyle w:val="Heading2"/>
      </w:pPr>
      <w:r>
        <w:t>Short Hypothesis</w:t>
      </w:r>
    </w:p>
    <w:p>
      <w:r>
        <w:t>Exposing adults to a high injunctive gendered-altruism norm causally increases women's unpaid caregiving hours and decreases men's unpaid caregiving participation.</w:t>
      </w:r>
    </w:p>
    <w:p>
      <w:r>
        <w:t xml:space="preserve"> </w:t>
      </w:r>
    </w:p>
    <w:p>
      <w:pPr>
        <w:pStyle w:val="Heading2"/>
      </w:pPr>
      <w:r>
        <w:t>Related Work</w:t>
      </w:r>
    </w:p>
    <w:p>
      <w:r>
        <w:t>Existing work combines surveys, time-use studies, ethnography, and some vignette experiments to document that women perform more unpaid eldercare in Thailand and other settings. Approaches that rely on cross-sectional survey correlations or qualitative description establish associations between gender norms and caregiving but cannot separate norm effects from confounding (household need, coresidence, migration). Prior experimental work using vignettes provides causal signals on stated intentions but often lacks behavioral incentives and validated norm scales, suffers social desirability bias, small or nonrepresentative samples, limited psychometric validation across languages, and sparse handling of spillovers. Quasi-experimental studies using policy rollouts sometimes exploit timing but rarely link validated norm measures with experimental manipulations or robust instruments for community-level norm variation. Gaps include weak causal identification for community elasticities, limited triangulation between self-report and incentivized behavior, and underpowered clustered designs for community effects.</w:t>
      </w:r>
    </w:p>
    <w:p>
      <w:r>
        <w:t xml:space="preserve"> </w:t>
      </w:r>
    </w:p>
    <w:p>
      <w:pPr>
        <w:pStyle w:val="Heading2"/>
      </w:pPr>
      <w:r>
        <w:t>Abstract</w:t>
      </w:r>
    </w:p>
    <w:p>
      <w:r>
        <w:t>This study tests whether community-level gendered altruistic norms causally shape unpaid elderly caregiving in Thailand and whether norm-sensitive interventions can rebalance care by increasing male participation and reducing female burden. We combine embedded individual-level vignette experiments (2×2 gender cue × injunctive-norm prime) and low-stakes incentivized behavioral tasks with an observational multilevel survey that measures validated individual altruism, descriptive and injunctive community norms, elder need, and caregiving hours. We further exploit quasi-exogenous variation from staggered local eldercare program rollouts or VHV training timing as instrumental/quasi-experimental sources. Main contributions are: (1) causal estimates of injunctive norm effects on caregiving intentions and short-term effort allocation, (2) a validated, cross-region norm measurement toolkit, and (3) evidence on whether norm-change or male-inclusive supports can shift care distribution without harming elders. Expected outcomes include policy-relevant estimates of effect sizes, validated instruments for norm measurement, and guidance for gender-sensitive eldercare interventions.</w:t>
      </w:r>
    </w:p>
    <w:p>
      <w:r>
        <w:t xml:space="preserve"> </w:t>
      </w:r>
    </w:p>
    <w:p>
      <w:pPr>
        <w:pStyle w:val="Heading2"/>
      </w:pPr>
      <w:r>
        <w:t>Methodology</w:t>
      </w:r>
    </w:p>
    <w:p>
      <w:r>
        <w:t>1) Measurement development: create multi-item scales for individual altruism, perceived descriptive norms (what people do), and perceived injunctive norms (what people think should be done). Translate forward/back, run cognitive interviews, then pilot (n=250–300). Use exploratory factor analysis (EFA) to find factor structure and confirmatory factor analysis (CFA) for validation. Test measurement invariance (configural, metric, scalar) across gender, region, and language. Explanation: EFA finds groups of related questions; CFA tests a pre-specified structure; measurement invariance checks that scales mean the same across groups.</w:t>
        <w:br/>
        <w:br/>
        <w:t>2) Sampling and fieldwork: draw a nationally stratified multistage sample targeting ~3,000 households in ~120 clusters, oversample households with an older adult (60+), migrants, and minority groups. Collect GPS, household roster, kinship ties, and basic service access.</w:t>
        <w:br/>
        <w:br/>
        <w:t>3) Embedded experiments: implement a 4-arm vignette randomized at individual level (2 gender cues × 2 injunctive primes) plus low-stakes incentivized time-allocation task (tokens redeemable for THB50–100 equivalent). Randomize cluster-level informational prime about community expectations in a subset of villages. Stratify randomization by region, urban/rural and baseline norm tertile.</w:t>
        <w:br/>
        <w:br/>
        <w:t>4) Quasi-experimental identification: compile a rollout calendar for local eldercare programs or VHV trainings. Use difference-in-differences (DiD) exploiting staggered timing, and instrument community norm exposure using exogenous variation such as distance to early rollout sites or timing of localized media campaigns. Explanation: DiD compares before-after changes where rollout timing differs; instruments use external variation correlated with exposure but not directly with outcomes.</w:t>
        <w:br/>
        <w:br/>
        <w:t>5) Analysis: primary analysis is multilevel mixed-effects regression for observational community elasticity (βcommunity) with cluster random effects; experimental ATEs estimated by OLS with randomization inference and cluster-robust SEs; mediation tested with structural equation modeling (SEM) estimating individual altruism as mediator; IV/DiD used for observational causal checks. Pre-specify covariates: age, education, household size/composition, elder ADL/IADL need, employment, remittances, and local service access. Explain terms: multilevel models account for individuals nested in communities; SEM models pathways between variables.</w:t>
        <w:br/>
        <w:br/>
        <w:t>6) Aggregation: build community injunctive-norm index as proportion endorsing strong agreement (thresholded proportion) and report mean/median/weighted alternatives and ICCs to justify aggregation.</w:t>
        <w:br/>
        <w:br/>
        <w:t>7) QA and ethics: use CAPI with paradata, audio-audit 5–10% interviews, capacity screening for frail elders, proxy consent where needed, and debriefing after norm primes.</w:t>
      </w:r>
    </w:p>
    <w:p>
      <w:r>
        <w:t xml:space="preserve"> </w:t>
      </w:r>
    </w:p>
    <w:p>
      <w:pPr>
        <w:pStyle w:val="Heading2"/>
      </w:pPr>
      <w:r>
        <w:t>Experiments</w:t>
      </w:r>
    </w:p>
    <w:p>
      <w:r>
        <w:t>Datasets: 1) Pilot validation sample n=250–300 for psychometrics; 2) Main survey: stratified sample ~3,000 households nested in 120 clusters; 3) Qualitative sub-sample: 20–30 life-case households and 6–8 focus groups for instrument grounding.</w:t>
        <w:br/>
        <w:br/>
        <w:t>Experimental arms: A. Individual-level vignette arms (4 total): (1) son + high injunctive prime, (2) son + low injunctive prime, (3) daughter + high injunctive prime, (4) daughter + low injunctive prime. B. Individual-level behavioral task: time-allocation token task (allocate 10 tokens between personal items and elder-support items). C. Cluster-level information prime: randomized villages receive a brief public message about community expectation (high vs control).</w:t>
        <w:br/>
        <w:br/>
        <w:t>Randomization: individual-level randomization within clusters for vignette and token tasks; cluster-level randomization for information prime. Stratify by region and baseline norm tertile. Buffer zones minimum 2–3 km or administrative boundaries.</w:t>
        <w:br/>
        <w:br/>
        <w:t>Baselines for comparison: 1) observational multilevel model without experimental manipulation; 2) vignette-only arm vs vignette+token; 3) information-prime villages vs control.</w:t>
        <w:br/>
        <w:br/>
        <w:t>Evaluation metrics: Primary metric: mean weekly unpaid caregiving hours from a validated 7-day time diary (continuous). Secondary metrics: caregiver burden (Zarit short form), respondent mental health (CES‑D or PHQ‑9 score), binary male caregiving participation (hours&gt;0), tokens allocated to elder-support (count), stated willingness-to-provide hours from vignette (continuous). Statistical metrics: ATE with 95% CI, standardized effect sizes (SD units), p-values, cluster-robust SEs, ICCs, and mediation indirect effects with standard errors.</w:t>
        <w:br/>
        <w:br/>
        <w:t>Analysis pipeline: 1) Estimate ATEs by OLS/regression adjusting for pre-specified covariates and using randomization inference for p-values; 2) Multilevel mixed-effects model for βcommunity (household-level outcome on community norm index with cluster random effects); 3) DiD for staggered rollout using event-study specification and parallel-trend checks; 4) IV using distance-to-rollout or VHV training timing as instrument for community norm exposure; 5) Mediation via SEM estimating indirect effect of individual altruism.</w:t>
        <w:br/>
        <w:br/>
        <w:t>Ablation study: compare results for vignette-only arms vs vignette plus behavioral tokens to quantify social-desirability differences. Also compare aggregation rules (thresholded proportion vs mean) as sensitivity.</w:t>
        <w:br/>
        <w:br/>
        <w:t>Success criteria: detect ATE ≈0.20–0.25 SD in vignette/behavioral arms and community elasticity ≈0.25 SD with ICC scenarios 0.01–0.05. Report power tables by ICC and cluster size.</w:t>
      </w:r>
    </w:p>
    <w:p>
      <w:r>
        <w:t xml:space="preserve"> </w:t>
      </w:r>
    </w:p>
    <w:p>
      <w:pPr>
        <w:pStyle w:val="Heading2"/>
      </w:pPr>
      <w:r>
        <w:t>Risk Factors And Limitations</w:t>
      </w:r>
    </w:p>
    <w:p>
      <w:r>
        <w:t>Measurement error and social desirability in self-reports may bias estimated effects. Behavioral tokens may change responses in artificial ways that do not translate to real-world caregiving. Spillovers and contamination across villages can invalidate cluster-level comparisons and complicate causal interpretation. Instrument validity threats: exogenous variation (distance to rollouts, VHV timing) may correlate with unobserved factors affecting caregiving. Attrition and differential nonresponse, especially among caregivers under time stress, can bias estimates. Power limits: community-level effects require many clusters; underestimation of ICCs may leave the study underpowered. Sampling frame constraints may under-represent migrants, ethnic minorities, or urban poor if listing frames are incomplete. Ethical constraints: capacity screening and proxy consent limit direct measurement for frail elders. Legal/data governance rules (PDPA) may restrict data sharing and reproducibility. Generalization may be limited outside Thai cultural and policy contexts.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