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fta_fisheries_mtl_did_psm</w:t>
      </w:r>
    </w:p>
    <w:p>
      <w:r>
        <w:t xml:space="preserve"> </w:t>
      </w:r>
    </w:p>
    <w:p>
      <w:pPr>
        <w:pStyle w:val="Heading2"/>
      </w:pPr>
      <w:r>
        <w:t>Title</w:t>
      </w:r>
    </w:p>
    <w:p>
      <w:r>
        <w:t>Estimating the impact of free trade agreements and fisheries-related provisions on marine fisheries sustainability using difference-in-differences combined with propensity score matching</w:t>
      </w:r>
    </w:p>
    <w:p>
      <w:r>
        <w:t xml:space="preserve"> </w:t>
      </w:r>
    </w:p>
    <w:p>
      <w:pPr>
        <w:pStyle w:val="Heading2"/>
      </w:pPr>
      <w:r>
        <w:t>Short Hypothesis</w:t>
      </w:r>
    </w:p>
    <w:p>
      <w:r>
        <w:t>Entry into force of a free trade agreement that includes fisheries-related provisions causes a statistically significant increase in EEZ-level mean trophic level (MTL) within ten years relative to matched EEZs that did not sign such agreements.</w:t>
      </w:r>
    </w:p>
    <w:p>
      <w:r>
        <w:t xml:space="preserve"> </w:t>
      </w:r>
    </w:p>
    <w:p>
      <w:pPr>
        <w:pStyle w:val="Heading2"/>
      </w:pPr>
      <w:r>
        <w:t>Related Work</w:t>
      </w:r>
    </w:p>
    <w:p>
      <w:r>
        <w:t>Prior studies use mean trophic level (MTL) and related ecological indicators to assess fisheries sustainability and apply quasi-experimental methods such as difference-in-differences (DiD), propensity score matching (PSM), and case-by-case synthetic controls. Existing approaches show suggestive links between trade agreements with fisheries provisions and ecological outcomes but face key limitations: (1) endogeneity of treaty timing (countries with improving or worsening fisheries self-select into agreements), (2) staggered adoption biases in two-way fixed effects DiD when effects vary over cohorts, (3) measurement error and uncertainty in reconstructed catch-based MTL series, (4) limited treatment of spatial spillovers and reflagging that violate SUTVA, and (5) weak or poorly validated instruments for causal IV strategies. Few studies fully propagate reconstruction uncertainty into inference or combine AIS-derived effort metrics as mechanism tests.</w:t>
      </w:r>
    </w:p>
    <w:p>
      <w:r>
        <w:t xml:space="preserve"> </w:t>
      </w:r>
    </w:p>
    <w:p>
      <w:pPr>
        <w:pStyle w:val="Heading2"/>
      </w:pPr>
      <w:r>
        <w:t>Abstract</w:t>
      </w:r>
    </w:p>
    <w:p>
      <w:r>
        <w:t>This study evaluates whether signing free trade agreements (FTAs), and FTAs containing fisheries-related provisions, causally affects marine fisheries sustainability as measured by mean trophic level (MTL). We construct an annual EEZ-level panel (1950–2018) linking reconstructed catches and a comprehensive, validated coding of fisheries provisions in trade agreements (1947–2018). The primary identification uses propensity score matching followed by staggered-adoption difference-in-differences (Callaway &amp; Sant’Anna) to estimate average treatment effects across cohorts, complemented by Sun &amp; Abraham event studies, generalized synthetic control, matrix completion, and panel IV where credible instruments exist. We pre-register treatment timing, provision-intensity indices, covariates, and common-support rules. We also test spatial spillovers and mechanisms using AIS-derived fishing effort and reflagging metrics. Main contributions are: a reproducible causal pipeline combining PSM+DID with modern staggered estimators, explicit handling of measurement error and spatial spillovers, and a provision-intensity decomposition to separate management from market-access clauses. Expected outcome: transparent, robust evidence on how trade agreements shape fisheries sustainability and the mechanisms involved.</w:t>
      </w:r>
    </w:p>
    <w:p>
      <w:r>
        <w:t xml:space="preserve"> </w:t>
      </w:r>
    </w:p>
    <w:p>
      <w:pPr>
        <w:pStyle w:val="Heading2"/>
      </w:pPr>
      <w:r>
        <w:t>Methodology</w:t>
      </w:r>
    </w:p>
    <w:p>
      <w:r>
        <w:t>1) Data assembly: build an annual EEZ-level panel (1950–2018) with MTL computed from reconstructed catches, trade-agreement treatment calendar with fisheries provision codes, AIS-derived effort metrics, RAM Legacy stock indicators, and socio-environmental covariates (GDP per capita, fuel price, SST, ENSO, MPAs, RFMO actions). 2) Treatment coding: primary treatment = entry-into-force year; create binary indicators and a provision-intensity index (0–3 per provision type) plus enforcement subindex. For overlapping FTAs code annual cumulative and maximal exposure. 3) Matching: estimate propensity scores (logit) using pre-specified covariates and 5-year pre-treatment MTL trend; match nearest-neighbor with replacement, caliper = 0.2 SD of logit, ratio 1:3. Propensity score: probability of treatment given covariates. 4) Primary causal estimator: apply Callaway &amp; Sant’Anna staggered-adoption DiD on matched sample to estimate cohort-specific ATTg and aggregated ATT. Also run Sun &amp; Abraham event studies to inspect dynamic effects. 5) Robustness: generalized synthetic control and matrix completion for unit-level counterfactuals; panel IV with pre-registered instruments (surprise political turnovers, partner tariff shocks, exogenous transport shocks) and first-stage F&gt;10 checks; report overidentification and placebo tests. 6) Measurement error: implement multiple imputation for sparse early years and SIMEX for classical error where plausible; propagate imputation uncertainty via pooled bootstrap. Explain SIMEX: a method that simulates extra measurement error to estimate bias and correct it. 7) Spatial analysis: define neighbors (shared boundary or centroid &lt;500 km); estimate spatial Durbin and spatial lag models and spatial DID variants to capture spillovers; use AIS intermediates (fishing hours, foreign EEZ share, reflagging) as mechanism outcomes. 8) Inference: cluster SEs at EEZ (or RFMO) level, use wild cluster bootstrap when treated clusters are few, and control false discovery rate across families of outcomes. 9) Reproducibility: preregister DAP, publish codebook, containerized code, and synthetic data for restricted sources. 10) Reporting: present ATTg, event-study plots (leads/lags up to 5/10 years), balance diagnostics, and MDE/power tables.</w:t>
      </w:r>
    </w:p>
    <w:p>
      <w:r>
        <w:t xml:space="preserve"> </w:t>
      </w:r>
    </w:p>
    <w:p>
      <w:pPr>
        <w:pStyle w:val="Heading2"/>
      </w:pPr>
      <w:r>
        <w:t>Experiments</w:t>
      </w:r>
    </w:p>
    <w:p>
      <w:r>
        <w:t>Datasets: (a) EEZ-level reconstructed catches and derived MTL (1950–2018); (b) coded trade-agreement dataset with fisheries provisions (1947–2018); (c) Global Fishing Watch AIS effort metrics; (d) RAM Legacy stock-status and biomass trends; (e) World Bank macro covariates, fuel prices, SST/ENSO indices, RFMO actions. Baselines: (1) naive two-way fixed effects DiD without matching; (2) PSM only (no DiD); (3) Callaway &amp; Sant’Anna DiD on unmatched sample; (4) generalized synthetic control; (5) panel IV with prioritized instruments. Evaluation metrics: ATT estimates with 95% confidence intervals, standardized mean differences (SMD) for covariate balance (target &lt;0.10), pre-trend placebo p-values (no effect on leads), MDE and power, first-stage F-statistics for IV, and falsification outcome tests (terrestrial unrelated outcomes). Experimental setup: implement PSM logit with caliper=0.2 SD logit, 1:3 replacement matching. Run Callaway &amp; Sant’Anna on matched sample; event window leads up to 5 years and lags up to 10 years. Cluster SEs by EEZ; use wild cluster bootstrap for inference when treated clusters &lt;50. Ablations/comparisons: (A) PSM+DID vs DID-only vs matched-only; (B) provision-intensity modeled as continuous vs categorical (0/1/2/3) vs thresholded (≥2); (C) include vs exclude spatial spillover terms; (D) SIMEX correction vs no SIMEX; (E) instrument sets A vs B (political vs partner shocks). Mechanism tests: regress AIS outcomes (fishing hours, foreign share, reflagging counts) on treatment using same causal estimators. Report all results in tables and event-study figures.</w:t>
      </w:r>
    </w:p>
    <w:p>
      <w:r>
        <w:t xml:space="preserve"> </w:t>
      </w:r>
    </w:p>
    <w:p>
      <w:pPr>
        <w:pStyle w:val="Heading2"/>
      </w:pPr>
      <w:r>
        <w:t>Risk Factors And Limitations</w:t>
      </w:r>
    </w:p>
    <w:p>
      <w:r>
        <w:t>1) Endogeneity: unobserved factors may drive both FTA timing and fisheries outcomes, limiting causal claims if instruments fail. 2) Instrument risk: candidate instruments may violate exclusion restrictions or be weak. 3) Measurement error: reconstructed catches and MTL have uncertainty that may bias estimates; SIMEX and imputation may not fully correct complex errors. 4) Common support loss: many treated EEZs may lack comparable controls, reducing effective sample and external validity. 5) Staggered DiD bias: heterogeneous, time-varying treatment effects can complicate aggregation and interpretation. 6) Spatial spillovers and SUTVA violations: effort displacement and reflagging can contaminate control units and attribution. 7) Data access and coverage: AIS data gaps, restricted RFMO records, or incomplete treaty texts may limit mechanism tests. 8) Small number of treated clusters: inference may be imprecise and bootstrap methods may have limited accuracy. 9) Computational limits: matrix completion and synthetic control at large panel scale can be compute-intensive. 10) Generalizability: findings pertain to historical FTAs and may not generalize to other policy contexts or future agreement designs.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