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modularity_data_quantification</w:t>
      </w:r>
    </w:p>
    <w:p>
      <w:r>
        <w:t xml:space="preserve"> </w:t>
      </w:r>
    </w:p>
    <w:p>
      <w:pPr>
        <w:pStyle w:val="Heading2"/>
      </w:pPr>
      <w:r>
        <w:t>Title</w:t>
      </w:r>
    </w:p>
    <w:p>
      <w:r>
        <w:t>A hierarchical Bayesian measurement-error and provenance-aware data management framework to quantify modularity effects in product families</w:t>
      </w:r>
    </w:p>
    <w:p>
      <w:r>
        <w:t xml:space="preserve"> </w:t>
      </w:r>
    </w:p>
    <w:p>
      <w:pPr>
        <w:pStyle w:val="Heading2"/>
      </w:pPr>
      <w:r>
        <w:t>Short Hypothesis</w:t>
      </w:r>
    </w:p>
    <w:p>
      <w:r>
        <w:t>Applying a provenance-calibrated hierarchical Bayesian measurement-error model to reconciled PLM/ERP extracts and propagating posterior uncertainty into a machine-readable Modularity Index will reduce the posterior credible-interval width for estimated modularity effects on cost and lead time by at least 30% relative to deterministic imputation and unreconciled data.</w:t>
      </w:r>
    </w:p>
    <w:p>
      <w:r>
        <w:t xml:space="preserve"> </w:t>
      </w:r>
    </w:p>
    <w:p>
      <w:pPr>
        <w:pStyle w:val="Heading2"/>
      </w:pPr>
      <w:r>
        <w:t>Related Work</w:t>
      </w:r>
    </w:p>
    <w:p>
      <w:r>
        <w:t>Existing work offers several Modularity Index (MI) formulations (weighted composites, graph-theoretic coupling/cohesion, entropy-based reuse) and applies life-cycle analysis, AI/NLP extraction, and multiple-imputation methods for missing BOM/cost fields. Prior Bayesian approaches introduce pooling and hierarchical structure but often omit explicit measurement-error models for aggregated ERP postings, lack provenance-calibrated confidence scores, or do not export full posterior samples for downstream VOI and LCA propagation. Record linkage and reconciliation at industrial scale are commonly handled with ad hoc heuristics rather than integrated probabilistic linkage with audit trails. Synthetic benchmarks exist but rarely publish ground-truth generators, calibrated noise models, or severity holdouts. Accounting interventions (module cost objects, ABC drivers, NRE tags) are proposed in practice but lack formal VOI calculations tied to posterior uncertainty. These gaps produce weak identifiability, underreported uncertainty, and limited decision support for firms evaluating modularity.</w:t>
      </w:r>
    </w:p>
    <w:p>
      <w:r>
        <w:t xml:space="preserve"> </w:t>
      </w:r>
    </w:p>
    <w:p>
      <w:pPr>
        <w:pStyle w:val="Heading2"/>
      </w:pPr>
      <w:r>
        <w:t>Abstract</w:t>
      </w:r>
    </w:p>
    <w:p>
      <w:r>
        <w:t>Quantifying the effects of modularity in product families is hampered by poor data quality, aggregated cost postings, weak PLM–ERP linkage, and absence of uncertainty-aware workflows. We propose a reproducible framework that combines a canonical schema and provenance-tracked knowledge graph, a machine-readable Modularity Index, calibrated synthetic benchmarks, and a hierarchical Bayesian measurement-error model that treats PLM/ERP observations as noisy measurements of latent module attributes. The model emits full posterior samples for modularity metrics, life-cycle allocations, and value-of-information (VOI) calculations to guide accounting and IT investments. Main contributions are: (1) concrete, machine-readable MI formulations with provenance inputs; (2) hierarchical imputation with explicit likelihoods per field type and calibrated pedigree mapping; and (3) synthetic benchmark generators with multiple failure modes and holdouts. Expected outcomes include narrower, well-calibrated credible intervals for modularity effects, actionable VOI rankings for data investments, and reproducible artifacts for industrial pilots.</w:t>
      </w:r>
    </w:p>
    <w:p>
      <w:r>
        <w:t xml:space="preserve"> </w:t>
      </w:r>
    </w:p>
    <w:p>
      <w:pPr>
        <w:pStyle w:val="Heading2"/>
      </w:pPr>
      <w:r>
        <w:t>Methodology</w:t>
      </w:r>
    </w:p>
    <w:p>
      <w:r>
        <w:t>1. Data inventory and schema: collect synchronized PLM, ERP, CAD, MES snapshots and create a canonical JSON Schema with stable keys (module_id, part_id, product_id, version_id), view tags (eBOM/mBOM/service), timestamps, mass_kg, material_key, cost_postings, provenance_uri, confidence_score and pedigree pointer. 2. ELT and provenance: ingest raw extracts to a lakehouse (raw/curated layers) and populate a knowledge graph that links record nodes to provenance_uris. 3. Record linkage: run probabilistic linkage (Fellegi-Sunter style with blocking) to map BOM lines across systems; output match probabilities and log reconciliations as versioned artifacts. 4. Define machine-readable MI variants: implement weighted-composite, graph-coupling, and entropy-reuse formulations as JSON Schemas that accept inputs with units and provenance URIs. 5. Hierarchical Bayesian measurement-error model: treat latent module attributes (unit_cost, mass, material_fraction, routing_time) as parameters. For continuous fields use Student-t or Gaussian likelihoods (Student-t for heavy tails). For counts use negative binomial. For zero-inflated fields use zero-inflated Poisson/NegBin. Model aggregated ERP pools as noisy linear combinations with explicit measurement-error terms. Priors: weakly informative (e.g., Normal(0,10) on standardized scales) or stronger empirical priors derived from pilot extracts. 6. Imputation and propagation: sample posterior via MCMC to produce full posterior samples for attributes, MI values, and LCA allocations. Export samples to Parquet/NetCDF. 7. Pedigree calibration: estimate mapping from pedigree entries to expected absolute errors using reconciled holdouts and bootstrap confidence intervals. 8. LCA allocation: map part-level inventories to unit processes when available; otherwise allocate by mass×material factors adjusted by routing proxies; propagate posterior uncertainty by Monte Carlo. 9. Synthetic benchmarks: generate ground-truth family graphs and inject calibrated noise (MCAR/MAR/MNAR, aggregation, rounding, lag, duplicates) with multiple severity seeds. 10. VOI calculations: define decision problems (e.g., enable module cost object for a module), compute expected value of perfect and sample information from posterior samples, and rank interventions.</w:t>
      </w:r>
    </w:p>
    <w:p>
      <w:r>
        <w:t xml:space="preserve"> </w:t>
      </w:r>
    </w:p>
    <w:p>
      <w:pPr>
        <w:pStyle w:val="Heading2"/>
      </w:pPr>
      <w:r>
        <w:t>Experiments</w:t>
      </w:r>
    </w:p>
    <w:p>
      <w:r>
        <w:t>Datasets: (A) Pilot A: mid-complexity electromechanical family with 50-150 variants and linked PLM/ERP extracts; (B) Pilot B: service-heavy family with 30-80 variants including repair logs; (C) Synthetic benchmarks with three severity levels and holdout seeds. Baselines: (1) deterministic imputation using simple proxies (mass×unit_price, routing_time×labor_rate), (2) standard multiple imputation (MICE) without measurement-error, (3) Bayesian hierarchical model without provenance weighting, (4) existing MI formulations computed on unreconciled data. Metrics: posterior credible-interval width for modularity effect on cost and lead time (primary), coverage probability (95% CI empirical coverage), RMSE and mean absolute error for held-out module attributes, Brier score and calibration curves for confidence_score, precision/recall/F1 for record linkage, Sobol indices for MI sensitivity, and VOI in monetary units for ERP/PLM migration decisions. Setup: implement hierarchical Bayesian models in Stan or PyMC; run 4 chains, 2000 warmup, 4000 post-warmup samples (or variational inference fallback for large scale). Ablations: (i) remove measurement-error submodel, (ii) remove provenance-based confidence weighting, (iii) vary prior strength (weak vs empirical), (iv) compare three MI formulations. For each experiment perform posterior predictive checks, out-of-sample holdout evaluation on 10-20% withheld BOM lines, and compute decision metrics (VOI) for accounting interventions.</w:t>
      </w:r>
    </w:p>
    <w:p>
      <w:r>
        <w:t xml:space="preserve"> </w:t>
      </w:r>
    </w:p>
    <w:p>
      <w:pPr>
        <w:pStyle w:val="Heading2"/>
      </w:pPr>
      <w:r>
        <w:t>Risk Factors And Limitations</w:t>
      </w:r>
    </w:p>
    <w:p>
      <w:r>
        <w:t>1. Data access and legal constraints: PLM/ERP extracts may be incomplete or restricted by NDAs, limiting pilot scope. 2. MNAR (missing not at random): if missingness depends on latent attributes, identifiability of imputations is limited. 3. Model identifiability: hierarchical measurement-error models can be weakly identified when aggregated postings overwhelm unit-level signals. 4. Computational cost: MCMC on large hierarchies and Sobol sensitivity analyses may require substantial compute and long runtimes. 5. Synthetic realism: benchmark noise may not capture unobserved real-world failure modes, limiting external validity. 6. Record linkage errors: imperfect linkage can bias posterior estimates and calibration. 7. Generalization: findings from two industrial pilots may not transfer across highly different product families. 8. Causal attribution limits: observational associations between MI and outcomes may remain confounded without credible exogenous variation.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