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shrinkflation_japan_cpi</w:t>
      </w:r>
    </w:p>
    <w:p>
      <w:r>
        <w:t xml:space="preserve"> </w:t>
      </w:r>
    </w:p>
    <w:p>
      <w:pPr>
        <w:pStyle w:val="Heading2"/>
      </w:pPr>
      <w:r>
        <w:t>Title</w:t>
      </w:r>
    </w:p>
    <w:p>
      <w:r>
        <w:t>Causal identification of shrinkflation effects on consumer prices and welfare in Japan using instrumented input-cost shocks and behavioral detection experiments</w:t>
      </w:r>
    </w:p>
    <w:p>
      <w:r>
        <w:t xml:space="preserve"> </w:t>
      </w:r>
    </w:p>
    <w:p>
      <w:pPr>
        <w:pStyle w:val="Heading2"/>
      </w:pPr>
      <w:r>
        <w:t>Short Hypothesis</w:t>
      </w:r>
    </w:p>
    <w:p>
      <w:r>
        <w:t>Exogenous increases in global input costs cause firms in Japan to reduce declared product quantities (shrinkflation) instead of proportionally raising nominal prices, thereby increasing household unit-prices and reducing consumer surplus.</w:t>
      </w:r>
    </w:p>
    <w:p>
      <w:r>
        <w:t xml:space="preserve"> </w:t>
      </w:r>
    </w:p>
    <w:p>
      <w:pPr>
        <w:pStyle w:val="Heading2"/>
      </w:pPr>
      <w:r>
        <w:t>Related Work</w:t>
      </w:r>
    </w:p>
    <w:p>
      <w:r>
        <w:t>Work on hidden inflation and price strategies has shown firms sometimes reduce package size to avoid headline price rises. Price-index and hedonic literature address quality adjustments but often treat declared quantity changes inconsistently. Behavioral-economics studies document low consumer sensitivity to unit-price changes and framing effects, and recent machine-learning research proposes CV/OCR classifiers to detect packaging or quantity changes. Limitations: prior detection efforts lack rigorous causal identification of why firms shrink (they observe events but not exogenous drivers), ML pipelines are under-validated across languages/pack types, CPI simulations rarely incorporate empirically estimated consumer detection probabilities, and existing econometric work often omits robust IV/exclusion tests, handling of SKU entry/exit, or detailed audit protocols. Cross-disciplinary integration of causal, ML, behavioral, and official-statistics methods remains unresolved.</w:t>
      </w:r>
    </w:p>
    <w:p>
      <w:r>
        <w:t xml:space="preserve"> </w:t>
      </w:r>
    </w:p>
    <w:p>
      <w:pPr>
        <w:pStyle w:val="Heading2"/>
      </w:pPr>
      <w:r>
        <w:t>Abstract</w:t>
      </w:r>
    </w:p>
    <w:p>
      <w:r>
        <w:t>This project quantifies how shrinkflation in Japan—firms reducing product quantity instead of raising nominal prices—affects measured consumer prices and household welfare. We combine an instrumented causal strategy using exogenous global input-cost shocks (commodity indices, energy, exchange-rate, shipping) interacted with SKU-level input exposure with a validated detection pipeline that uses OCR, ingredient NLP, and image embeddings. We estimate causal effects on unit-prices using staggered DiD and IV designs, measure consumer detection probabilities via online/lab/field experiments, and propagate classification and behavioral uncertainty into Monte Carlo CPI simulations and hedonic models. The main contribution is a reproducible pipeline that links validated shrinkage detection, causal identification, and behavioral priors to produce uncertainty-bounded CPI and consumer-surplus estimates. Expected outcomes include causal estimates of shrinkflation incidence and magnitude, calibrated detection functions P_detect(magnitude, framing), and policy-relevant bounds on CPI bias under alternative aggregation rules.</w:t>
      </w:r>
    </w:p>
    <w:p>
      <w:r>
        <w:t xml:space="preserve"> </w:t>
      </w:r>
    </w:p>
    <w:p>
      <w:pPr>
        <w:pStyle w:val="Heading2"/>
      </w:pPr>
      <w:r>
        <w:t>Methodology</w:t>
      </w:r>
    </w:p>
    <w:p>
      <w:r>
        <w:t>1) Data ingestion: collect scanner feeds (proprietary where available), Open Food Facts, GS1 records, and public retailer catalogs. Store raw images, label text, prices, and timestamps. 2) Quantity extraction: run OCR to read declared weights/volumes (g, kg, ml, L, count) and a deterministic parser to standardize per-unit weights (e.g., parse “8×30g” to 30g). Record OCR confidence for each extraction. 3) Input-exposure estimation: create three constructions for how much a SKU depends on a commodity—(A) NLP ingredient-share proxies from OCR-ed ingredient lists (compute normalized term weights), (B) input intensities from an input-output (IO) matrix mapped to product categories, and (C) firm disclosures or label-derived ingredient weights when available. 4) Shrinkage candidate rules: flag any declared-quantity decline ≥5% as candidate event. Compute ingredient-vector cosine similarity (a text-similarity score between pre/post ingredient lists) and image-embedding distance (visual change score). Pre-specified classification: pure shrinkage if decline 5–15% AND ingredient cosine ≥0.90 AND no new allergens AND image distance below threshold; reformulation otherwise. 5) Detection classifier: train a supervised model (e.g., gradient-boosted trees) with features: percent quantity change, unit-price trajectory, ingredient cosine, image-embedding distance, brand history, and retailer occurrence. Use active learning and stratified labeling to build a holdout set (~2,000). 6) ROC calibration: compute AUC, precision/recall, and set three operating points (high-precision, balanced, high-recall). Report confusion matrices and inter-annotator agreement (Cohen’s kappa). 7) Causal identification: instrument SKU-level input exposure with exogenous global shocks (commodity indices, crude oil, JPY exchange-rate, Baltic Dry Index) interacted with input-exposure weights. Pre-register first-stage, F-statistics, Hansen J when applicable, placebo tests on SKUs with zero exposure, and leave-one-firm-out sensitivity. Primary estimators: Callaway &amp; Sant’Anna and Sun–Abraham for staggered DiD; supplement with IV where endogeneity persists. 8) Behavioral estimation: run online between-subjects detection RCTs (multiple reduction levels and framings), lab eye-tracking validation, and incentivized WTP tasks to estimate P_detect(magnitude, framing, demographic). 9) CPI &amp; welfare simulation: Monte Carlo (N=5,000) resampling that draws classifier errors and behavioral uncertainty to compute adjusted Laspeyres/Paasche/Fisher indices and household consumer-surplus change. 10) Hedonic models: semi-log hedonic regressions including weight, calories-per-unit, pack-count, allergen indicators, packaging material, and CV-derived visible content area. Definitions: instrument = external variable used to isolate causal shocks; IV = instrumental variables method; DiD = difference-in-differences comparing treated vs control over time; ROC = receiver operating characteristic, a classifier performance curve; Monte Carlo = repeated random sampling to propagate uncertainty.</w:t>
      </w:r>
    </w:p>
    <w:p>
      <w:r>
        <w:t xml:space="preserve"> </w:t>
      </w:r>
    </w:p>
    <w:p>
      <w:pPr>
        <w:pStyle w:val="Heading2"/>
      </w:pPr>
      <w:r>
        <w:t>Experiments</w:t>
      </w:r>
    </w:p>
    <w:p>
      <w:r>
        <w:t>Datasets: proprietary scanner panels (Intage/Nikkei/Nielsen) where accessible; Open Food Facts and GS1 as primary public sources; web-scraped retailer catalogs; a household-panel microdata sample for expenditure weights; and a 2,000–2,500 instance labeled holdout for validation. Baselines: (B1) naive declared-weight change detector (threshold-only), (B2) image-only detector, (B3) ingredient-only detector, (B4) price-only CPI (no shrinkage adjustments), (B5) hedonic-adjusted CPI. Metrics: classifier — precision, recall, F1, AUC, confusion matrix; causal — first-stage F-stat, IV coefficient, Hansen J, event-study pre-trends; effect sizes — change in unit-price (JPY per unit), percent incidence of shrinkage, CPI bias (percentage points), consumer-surplus loss (JPY per household); experiments — detection rate (binary), perceived unit-price change (continuous), WTP (JPY), response time, and sales changes in field pilots. Experimental setup: labeled validation sample stratified by language (JP/EN), category, packaging, and channel; target n_label ≈2,000–2,500. Online detection RCT: between-subjects five arms (0%,5%,10%,15%,20% reductions), n=800 (≈160 per arm). Unit-price salience × framing RCT: 3×3 factorial, n=1,800 (≈200 per cell). Lab eye-tracking: within-subject n≈80. Incentivized WTP subsample: n≈400–600. Field retailer pilot: minimal pilot 10 stores/arm; preferred pilot 30 stores/arm run 8–12 weeks; cluster power tables use ICC range 0.02–0.05. Econometric plan: apply Callaway &amp; Sant’Anna and Sun–Abraham DiD estimators, stacked DiD robustness, and synthetic control for high-profile SKUs. Monte Carlo: N=5,000 draws to propagate classifier and experimental uncertainty into CPI and welfare estimates. Ablation study: compare full classifier (ingredient + image + price + history) vs (i) ingredient-only, (ii) image-only, (iii) price+history-only to measure contribution of each feature set to detection performance and downstream CPI bias. All code, thresholds, and analysis scripts pre-registered and versioned.</w:t>
      </w:r>
    </w:p>
    <w:p>
      <w:r>
        <w:t xml:space="preserve"> </w:t>
      </w:r>
    </w:p>
    <w:p>
      <w:pPr>
        <w:pStyle w:val="Heading2"/>
      </w:pPr>
      <w:r>
        <w:t>Risk Factors And Limitations</w:t>
      </w:r>
    </w:p>
    <w:p>
      <w:r>
        <w:t>1) IV exclusion threats: global shocks may affect demand or marketing, violating exclusion restrictions and biasing IV estimates. 2) Data access/legal limits: proprietary scanner feeds may be delayed or restricted, reducing coverage and increasing reliance on public or synthetic data. 3) OCR/CV errors: low OCR accuracy on complex Japanese packaging or handwritten labels can produce mis-extraction of quantities and ingredient lists. 4) Classifier generalization: models trained on one set of categories or languages may not generalize to other categories, retailers, or private-label products. 5) SKU churn and seasonality: frequent product entry/exit, rebranding, or seasonal assortments can bias DiD estimates and complicate UPC×time fixed-effect strategies. 6) Measurement of detection probability: experimental P_detect may not map perfectly to real-world shopping contexts (external validity limits). 7) Missing-price and promotion confounding: promotion-driven price volatility and loyalty discounts can distort unit-price measures and hedonic adjustments. 8) Compute and scalability: image-embedding and Monte Carlo simulations at scale require substantial GPU/CPU resources and time; resource shortfalls will limit iterations. 9) Statistical power constraints: cluster field pilots depend on retailer cooperation and scanner variance; underpowered pilots reduce ability to detect sales effects. 10) Limited generalizability: results calibrated to Japan’s cultural and historical price-sensitivity context may not transfer directly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