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unequal_age_household_cee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Multilevel RIF-decomposition analysis of how demographic aging and household type affect income inequality in Central and Eastern Europe (2005–2022)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shares of elderly-headed households cause larger increases in household disposable income inequality, and this causal effect is stronger in liberal post-socialist states than in corporatist post-socialist states.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use EU-SILC and national data to document aging, household composition shifts, and cross-country differences in income inequality. Common approaches include pooled Gini/Atkinson estimates, decomposition by income sources, and welfare-typology comparisons based on summary institutional indicators. Limitations remain: many analyses treat individuals rather than household types, reduce institutional variation to coarse binary labels, or ignore EU-SILC coverage omissions (especially institutionalized elderly). Causal tests of pension reforms are typically single-country case studies with limited cohort-exposure definitions. Top-tail undercoverage and inconsistent income component definitions across countries reduce comparability. Few works combine distributional regression (RIF), Shapley-style decompositions by household type, and explicit reweighting/imputation to bound institutional exclusion bias while contrasting continuous typology measures with quasi-experimental reforms.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how demographic aging and household type drive changes in income inequality across Central and Eastern Europe between 2005 and 2022. Using harmonized EU-SILC microdata for selected CEE states, we apply Recentered Influence Function (RIF) regressions within a multilevel framework and Shapley-style decompositions to separate compositional changes (age and household structure) from within-group inequality changes. We operationalize a continuous corporatist–liberal typology from institutional indicators and test interaction effects of aging and typology. We explicitly address EU-SILC coverage gaps by reporting coverage ratios, applying census-based post-stratification reweighting, and constructing an upper-bound institutional-income imputation. Quasi-experimental tests (DiD and synthetic control) evaluate selected pension reforms. The main contribution is a reproducible pipeline that combines distributional regression, decomposition, typology indexing, and transparent coverage adjustments to produce bounded estimates of how aging and family structure shape inequality in post-socialist welfare contexts. Expected outcomes are precise subgroup inequality estimates, typology-moderated effects, and sensitivity bounds for institutional exclusion.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extract EU-SILC cross-sectional microdata (household and person files) for 2005–2022 for target countries. Preserve component flags (earnings, self-employment, public pensions, private transfers, other benefits, taxes, social contributions). 2) Harmonize income: map country variables to a harmonized disposable income construct (sum of components minus taxes/contributions). Record a variable-mapping table and unit tests that check component sums. Convert nominal values to constant 2015 euros using national CPI and Eurostat PPP. 3) Headship and household types: assign household reference person using primary reference variable, fallback rules (national head, largest monetary income share, oldest member). Code household types: single elderly, elderly couple, multigenerational, working-age with/without children. Flag provenance and ambiguous cases. 4) Equivalization: compute equivalized household income with OECD-modified scale (head=1, other adult=0.5, child=0.3); implement square-root and per-capita options as sensitivity. 5) Coverage diagnostics and adjustments: compute coverage ratios by age×household-type vs census; produce two adjustments: (a) post-stratification reweighting where new weight = original_weight × (census_margin / survey_margin) by cell; (b) upper-bound institutional imputation that apportions aggregate administrative pension totals to excluded institutional population by age. Log both versions. 6) Inequality and variance: compute Gini and Atkinson (ε=0.5,1,2) by household type and country-year. Estimate variance using survey-aware replicate bootstrap (2,000 reps) with provided PSU/strata or household-cluster bootstrap fallback. 7) Decomposition and regression: run Shapley-style decomposition to split overall inequality change into compositional vs within-group parts. Estimate multilevel RIF regressions: RIF(ineq) = α + β1 Aging + β2 TypologyIndex + β3 Aging×TypologyIndex + X′γ + country FE + year FE, with country-level random slopes as needed. Explain RIF: it is a transformed outcome that lets regression target a distributional statistic (e.g., Gini). 8) Typology: build continuous corporatist–liberal index via PCA on standardized institutional indicators; produce cluster labels via hierarchical + k-means. 9) Quasi-experiments: pre-register cohort exposure windows for reforms and run DiD/event-study and synthetic control analyses where possible. 10) Reproducibility: implement pipeline in R with unit tests, renv, and Dockerfile; produce aggregated outputs and synthetic microdata for publication.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EU-SILC microdata household and person files (2005–2022) for Czech Republic, Estonia, Hungary, Latvia, Lithuania, Poland, Slovakia, Slovenia (primary); Bulgaria and Romania conditional. National census margins and administrative pension aggregates for coverage checks. Baselines: (B1) pooled unadjusted Gini by household type; (B2) RIF multilevel model without typology interaction; (B3) decomposition without coverage adjustments. Proposed experiments: E1 (Main): compute Gini and Atkinson by household type for 2005 and 2022, apply Shapley decomposition to attribute change to compositional vs within-group effects, using survey-aware bootstrap (2,000 reps) to get confidence intervals. E2 (Typology interaction): estimate multilevel RIF regressions with TypologyIndex and Aging×TypologyIndex; report β3 and bootstrap CI. E3 (Coverage sensitivity): compare three pipelines — unadjusted, post-stratification reweighted, and upper-bound imputed — report inequality metrics and their ranges. E4 (Top-tail ablation): run three top-tail treatments (Pareto interpolation where top-coding detected, 99th-percentile winsorization, no correction) and compare Gini/Atkinson differences. E5 (Quasi-experiment): for each shortlisted reform (Hungary 2010–11, Poland 2014–16), run cohort DiD with cohort×year cells, event-study with ≥5 pre-period leads, and synthetic control where donor pool valid; report ATT on inequality measures and placebo tests. Evaluation metrics: Gini, Atkinson(ε=1), Shapley contribution percentages, coefficient β3 (Aging×Typology) with 95% CI, minimum detectable change (MDC) for Gini per cell. Experimental setup details: use survey weights; require minimum cell count 10 for public reporting, minimum analytic cell size 200 households or MDC Gini ≤0.02 for subgroup inference. Ablation study: compare full pipeline vs (i) without coverage corrections and (ii) without typology interaction to isolate the contribution of each component.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Coverage bias: EU-SILC undercounts institutionalized elderly and certain household types; reweighting and imputation provide bounds but cannot fully recover true distributions. 2) Income measurement heterogeneity: country differences in in-kind benefit reporting, tax definitions, and reference periods may leave residual non-comparability. 3) Top-tail uncertainty: sparse top incomes and administrative mismatch can bias Gini; Pareto fits may be unstable in small samples. 4) Typology endogeneity: institutional indicators may be endogenous to inequality trends, limiting causal interpretation of typology interactions. 5) Small-cell power: age×household-type cells may have low sample sizes, reducing precision and limiting subgroup inference. 6) Survey design gaps: missing PSU/strata in some country-years force bootstrap fallbacks that inflate variance. 7) Quasi-experiment limits: valid DiD or synthetic control requires clear comparators and pre-trend absence; some reforms may not meet criteria. 8) Computational cost: replicate bootstraps, PCA stability checks, and synthetic control runs are computationally heavy. 9) Generalization limits: results apply to sampled CEE countries and years and may not transfer to non-EU or non-post-socialist contexts. 10) Disclosure constraints: microdata access rules and disclosure controls may restrict the granularity of published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