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organic_innovations_acceptance_survey</w:t>
      </w:r>
    </w:p>
    <w:p>
      <w:r>
        <w:t xml:space="preserve"> </w:t>
      </w:r>
    </w:p>
    <w:p>
      <w:pPr>
        <w:pStyle w:val="Heading2"/>
      </w:pPr>
      <w:r>
        <w:t>Title</w:t>
      </w:r>
    </w:p>
    <w:p>
      <w:r>
        <w:t>Experimental evaluation of stakeholder acceptance and development potential of organic farming innovations using randomized information treatments at German organic field days</w:t>
      </w:r>
    </w:p>
    <w:p>
      <w:r>
        <w:t xml:space="preserve"> </w:t>
      </w:r>
    </w:p>
    <w:p>
      <w:pPr>
        <w:pStyle w:val="Heading2"/>
      </w:pPr>
      <w:r>
        <w:t>Short Hypothesis</w:t>
      </w:r>
    </w:p>
    <w:p>
      <w:r>
        <w:t>Exposure to concise information (economic evidence, environmental evidence, or a peer‑norm vignette) causes a higher mean acceptance rating of curated organic farming innovations compared with no information.</w:t>
      </w:r>
    </w:p>
    <w:p>
      <w:r>
        <w:t xml:space="preserve"> </w:t>
      </w:r>
    </w:p>
    <w:p>
      <w:pPr>
        <w:pStyle w:val="Heading2"/>
      </w:pPr>
      <w:r>
        <w:t>Related Work</w:t>
      </w:r>
    </w:p>
    <w:p>
      <w:r>
        <w:t>Prior work has surveyed stakeholders at organic events and reported generally positive attitudes toward organic farming innovations and interest in sustainable practices. Existing studies are mostly descriptive cross‑sectional surveys; they often rely on convenience samples, use diverse unvalidated item sets, and do not test causal effects of information. Limitations include weak handling of selection bias (limited use of external margins or paradata), minimal experimental variation to identify information effects, inadequate power for subgroup or latent‑class detection, and sparse linkage from stated acceptance to expected adoption or farm economics. Few studies preregister hypotheses or provide reproducible simulation code. There is a gap for randomized, pre‑registered field experiments that combine validated short scales, paradata, multilevel inference, latent segmentation, and calibrated adoption/profit mapping.</w:t>
      </w:r>
    </w:p>
    <w:p>
      <w:r>
        <w:t xml:space="preserve"> </w:t>
      </w:r>
    </w:p>
    <w:p>
      <w:pPr>
        <w:pStyle w:val="Heading2"/>
      </w:pPr>
      <w:r>
        <w:t>Abstract</w:t>
      </w:r>
    </w:p>
    <w:p>
      <w:r>
        <w:t>We study how targeted information affects stakeholder acceptance and perceived development potential of innovations for organic farming. At major organic field days in Germany we will intercept attendees, measure attitudes with a validated 7‑point acceptance battery, and randomly assign concise information treatments: economic evidence, environmental evidence, peer‑norm vignette, or no information. We combine paradata, stratified sampling across stakeholder types, and a pilot to calibrate baseline category probabilities. Main contributions are: (1) causal estimates of information effects on average and innovation‑level acceptance using multilevel ordinal models; (2) latent class segmentation of stakeholders; and (3) calibrated mapping from acceptance to short‑term adoption probability and per‑hectare partial‑budget estimates via Monte‑Carlo. We preregister outcomes and analysis rules, test model assumptions (proportional‑odds vs IRT), and publish reproducible code. Expected outcomes include robust identification of which innovations gain acceptance from which evidence, actionable adoption scenarios, and transparent methods for policy and extension planning.</w:t>
      </w:r>
    </w:p>
    <w:p>
      <w:r>
        <w:t xml:space="preserve"> </w:t>
      </w:r>
    </w:p>
    <w:p>
      <w:pPr>
        <w:pStyle w:val="Heading2"/>
      </w:pPr>
      <w:r>
        <w:t>Methodology</w:t>
      </w:r>
    </w:p>
    <w:p>
      <w:r>
        <w:t>Sampling and recruitment: intercept attendees at selected organic field days. Stratify by stakeholder type (farmers by size, advisors/NGOs, industry/policy, students/consumers) and implement block randomization within event×stakeholder strata. Pilot: run cognitive interviews (n≈12–15) and pilot survey (n≈60–100) to estimate item properties and baseline category probabilities. Treatments: four arms — control, economic evidence, environmental evidence, peer‑norm vignette. Measures: a 7‑point acceptance battery (same anchors across innovations), perceived importance, development potential, current adoption stage, adoption timeframe, trust, risk/benefit scales, social norms, innovativeness, general risk willingness, and brief agronomic feasibility items. Paradata: timestamps, deviceID, interviewerID, event/zone/day, treatmentID, time on page, refusal codes, optional GPS. Manipulation/fidelity checks: open recall, credibility rating, self‑reported attention, interviewer confirmation checkbox. Data processing: flag speeders and straight‑liners, run MI (MICE) including treatment and outcomes as predictors, and apply raking/post‑stratification to Destatis and chamber margins. Main analysis: multilevel ordinal logistic regression with random intercepts for event and interviewer; test proportional‑odds assumption and, if violated, use partial‑proportional models or graded‑response IRT factor scores. Latent segmentation: finite mixture / latent class analysis with BIC, entropy and bootstrap stability checks. Acceptance→adoption mapping: estimate logistic link P(adopt)=logit−1(α+β·AcceptanceSD) in pilot and run Monte‑Carlo partial‑budget simulations using respondent distributions for %yield change, labour and costs. Reproducibility: versioned code, public repo, and preregistered analysis plan.</w:t>
      </w:r>
    </w:p>
    <w:p>
      <w:r>
        <w:t xml:space="preserve"> </w:t>
      </w:r>
    </w:p>
    <w:p>
      <w:pPr>
        <w:pStyle w:val="Heading2"/>
      </w:pPr>
      <w:r>
        <w:t>Experiments</w:t>
      </w:r>
    </w:p>
    <w:p>
      <w:r>
        <w:t>Datasets: pilot (n=60–100) to estimate baseline 7‑category probabilities and calibrate β; main study target N=600 (≈150 per arm) with strata quotas: farmers n≈300 (≈100 small,100 medium,100 large), advisors/NGOs n≈100, industry/policy n≈100, students/consumers n≈100. Baselines: control vs three treatment arms. Evaluation metrics: primary — mean acceptance score across curated innovations (or IRT factor score); secondary — innovation‑level acceptance, adoption timeframe, current adoption stage, and predicted adoption probability (pp change). Statistical models: multilevel ordinal logistic regression (software: R ordinal::clm or brms) with random intercepts for event and interviewer; report odds ratios, marginal effects in percentage points, and cluster‑robust SEs. Diagnostics: proportional‑odds tests, ICC estimates, design effect. Latent class: run poLCA/tidyLPA, select by BIC, require entropy≥0.70 and bootstrap class‑stability≥80%. Weighting and MI: MICE including treatment arm and outcomes; raking to external margins (Destatis). Power and simulation: run Monte‑Carlo simulations (1,000 reps per scenario) that map 0.25–0.30 SD treatment effects to odds‑ratios under proportional and partial‑proportional odds, include design effects for ICCs = {0.01,0.03,0.05}, and simulate LCA recovery for class prevalences {10%,20%,30%}. Ablation studies: (A) compare primary results using mean score vs IRT factor score; (B) compare IPW with and without paradata covariates; (C) compare models with clustered SEs vs full multilevel random effects; (D) sensitivity of adoption/profit mapping to β in range [0.8,1.6] log‑odds/SD. Preprocessing: set random seed for reproducibility, use 1,000 bootstrap samples for CI estimation, and publish code and baseline vectors.</w:t>
      </w:r>
    </w:p>
    <w:p>
      <w:r>
        <w:t xml:space="preserve"> </w:t>
      </w:r>
    </w:p>
    <w:p>
      <w:pPr>
        <w:pStyle w:val="Heading2"/>
      </w:pPr>
      <w:r>
        <w:t>Risk Factors And Limitations</w:t>
      </w:r>
    </w:p>
    <w:p>
      <w:r>
        <w:t>Sampling and representativeness: attendees at field days may not represent the national population of organic stakeholders, limiting generalization. Selection bias: nonresponse or opt‑in for contact may produce biased estimates; weighting and propensity adjustments may be insufficient if key margins are missing. Clustering and contamination: peer interaction at events can cause treatment spillovers and inflate ICCs, reducing effective sample size. Interviewer effects and social desirability: face‑to‑face tablet surveys can induce bias related to interviewer delivery or desirable answers. Model assumptions: proportional‑odds assumption may fail; alternative models may change estimands. Power limits: N≈600 may be underpowered for small subgroup*arm interactions and for detecting small latent classes. Missing data: MI assumes MAR (missing at random); violations bias results. Measurement error: self‑reported expected yield, costs and adoption intentions are noisy and may not match realized behavior. GDPR and data sharing: privacy constraints may limit the granularity of shared public datasets. Computational limits: extensive simulations, multilevel Bayesian models and agent‑based diffusion require moderate compute time and careful reproducibility management.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