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ewaste_dismantling_cf_inventory_cn</w:t>
      </w:r>
    </w:p>
    <w:p>
      <w:r>
        <w:t xml:space="preserve"> </w:t>
      </w:r>
    </w:p>
    <w:p>
      <w:pPr>
        <w:pStyle w:val="Heading2"/>
      </w:pPr>
      <w:r>
        <w:t>Title</w:t>
      </w:r>
    </w:p>
    <w:p>
      <w:r>
        <w:t>Field-based carbon footprint accounting method linking time-synchronized facility electricity and daily dismantling volumes for China e-waste dismantling</w:t>
      </w:r>
    </w:p>
    <w:p>
      <w:r>
        <w:t xml:space="preserve"> </w:t>
      </w:r>
    </w:p>
    <w:p>
      <w:pPr>
        <w:pStyle w:val="Heading2"/>
      </w:pPr>
      <w:r>
        <w:t>Short Hypothesis</w:t>
      </w:r>
    </w:p>
    <w:p>
      <w:r>
        <w:t>Combining time-synchronized facility electricity measurements, supervised NILM allocation, hourly marginal provincial grid emission factors, and a Bayesian hierarchical inventory model will produce daily kg CO2e/kg estimates whose mean absolute error (MAE) versus full submeter ground truth is at least 20% lower than inventories using annual provincial average EFs and deterministic allocation rules.</w:t>
      </w:r>
    </w:p>
    <w:p>
      <w:r>
        <w:t xml:space="preserve"> </w:t>
      </w:r>
    </w:p>
    <w:p>
      <w:pPr>
        <w:pStyle w:val="Heading2"/>
      </w:pPr>
      <w:r>
        <w:t>Related Work</w:t>
      </w:r>
    </w:p>
    <w:p>
      <w:r>
        <w:t>Existing approaches to e-waste carbon accounting use life-cycle assessment with coarse temporal and spatial electricity emission factors, or rely on sparse facility surveys and annual average grid EFs. Other relevant work applies non-intrusive load monitoring (NILM) to disaggregate building loads, and separate studies derive hourly marginal grid factors from dispatch data. Limitations in current methods include: (1) temporal mismatch between energy use and dismantling activity that inflates attribution error, (2) reliance on annual or monthly average EFs that ignore hourly dispatch variability, (3) weak handling of measurement and allocation uncertainty across devices and sites, (4) limited field validation against overlapping submetering, and (5) poor representation of informal-sector facilities and data governance constraints. No existing pipeline jointly integrates supervised NILM uncertainty, dispatch-derived hourly marginal EFs, and hierarchical statistical upscaling tuned for e-waste dismantling.</w:t>
      </w:r>
    </w:p>
    <w:p>
      <w:r>
        <w:t xml:space="preserve"> </w:t>
      </w:r>
    </w:p>
    <w:p>
      <w:pPr>
        <w:pStyle w:val="Heading2"/>
      </w:pPr>
      <w:r>
        <w:t>Abstract</w:t>
      </w:r>
    </w:p>
    <w:p>
      <w:r>
        <w:t>We propose a field-based method to account for the carbon footprint of e-waste dismantling in China by linking time-synchronized electricity consumption at dismantling facilities to daily dismantled mass across device categories. The method pairs revenue-grade main metering and targeted submeters with supervised NILM labels to attribute process electricity to dismantling actions, uses an hourly marginal provincial grid emission-factor cascade derived from dispatch or residual-load methods with documented fallbacks, and implements a Bayesian hierarchical inventory model to produce daily posterior distributions of kWh/kg and kg CO2e/kg per category. Main contributions are: (1) a reproducible protocol to align minute-resolution electricity and mass measurements; (2) explicit propagation of meter, NILM, and EF uncertainty through a statistical model; and (3) a field-validated sampling and upscaling plan for formal and informal sites. Expected outcomes include more accurate and auditable daily inventories, quantified uncertainty for policy use, and open reproducible code and synthetic datasets for independent review.</w:t>
      </w:r>
    </w:p>
    <w:p>
      <w:r>
        <w:t xml:space="preserve"> </w:t>
      </w:r>
    </w:p>
    <w:p>
      <w:pPr>
        <w:pStyle w:val="Heading2"/>
      </w:pPr>
      <w:r>
        <w:t>Methodology</w:t>
      </w:r>
    </w:p>
    <w:p>
      <w:r>
        <w:t>1) Sampling and measurement: select 15–30 sites stratified by province (Guangdong, Jiangsu/Shanghai, Chongqing), size, and formal/informal status. At each site install a revenue-grade main meter (±1–2%) and 4–6 submeters/CTs on key equipment (shredders, separators, conveyors, HVAC). Use floor or conveyor scales to record daily dismantled mass by e-waste type; scales logged with timestamps and calibrated semiannually. Sync clocks to NTP (ISO8601 timestamps). Optional time-synced camera labeling only with consent. 2) Data ingestion: edge gateways publish meter/scale streams to message queue; store raw immutable files (Parquet) and load into time-series DB. Maintain provenance logs and QA flags. 3) NILM labeling and models: collect overlapping submeter data and labeled start/stop events; train supervised event-based NILM classifiers using features (real/reactive power, power factor, transients). Produce confusion matrices (classification error) and timing error distributions. Explain: NILM = algorithm to separate appliance loads from a combined meter signal. 4) Grid EF derivation: primary method derives hourly marginal EF from dispatch/CEMS data; fallback cascade: residual-load marginal → provincial hourly average → provincial daily average → annual average. Store EF distributions with provenance. 5) Bayesian hierarchical inventory: model levels = device event → day → site → region. Measurement models encode meter and scale errors as probabilistic terms (e.g., truncated normal error), NILM uncertainty via sampled confusion matrices, and EF uncertainty via sampled hourly EF draws. Gap-filling: &lt;24 h use state-space/GP interpolation; 24–72 h use posterior predictive imputation; discard days with &gt;72 h missing or &gt;30% missing on critical circuits. 6) Emission computation: multiply sampled kWh allocations by sampled EF draws to produce posterior kg CO2e per kg dismantled and site/day aggregates. 7) Outputs and governance: publish medians and credible intervals, provenance, containerized code, and synthetic datasets; tiered data access under DSA/MOU.</w:t>
      </w:r>
    </w:p>
    <w:p>
      <w:r>
        <w:t xml:space="preserve"> </w:t>
      </w:r>
    </w:p>
    <w:p>
      <w:pPr>
        <w:pStyle w:val="Heading2"/>
      </w:pPr>
      <w:r>
        <w:t>Experiments</w:t>
      </w:r>
    </w:p>
    <w:p>
      <w:r>
        <w:t>Datasets: (A) Pilot field dataset: 15–30 sites across Guangdong, Jiangsu/Shanghai, Chongqing; each site 2–4 weeks of minute-resolution main meter, submeters, scales, and labeled events; (B) Synthetic datasets generated from posterior predictive draws for reproducibility. Baselines: (1) Annual provincial average EF + deterministic allocation by rated power/time; (2) Provincial hourly average EF + deterministic allocation; (3) Full submetering ground truth (oracle) for evaluation. Evaluation metrics: per-site/day and per-category MAE and RMSE of kg CO2e/kg versus ground truth; relative bias (%) and mean coverage probability of 50%/90% credible intervals; NILM performance: per-device F1, precision, recall, event timing error (median seconds), and energy allocation MAE; computational metrics: wall-clock runtime and memory. Experimental setup: run k-fold temporal cross-validation across pilot days (folds by non-overlapping weeks). For Bayesian inference use MCMC with 4 chains; report R-hat and effective sample size (ESS). Ablation studies: (A) EF choice ablation: compare hourly marginal vs hourly average vs annual average; (B) Allocation ablation: supervised NILM vs deterministic allocation vs targeted submetering of critical devices; (C) Imputation ablation: gap thresholds (&lt;24 h, 24–72 h, &gt;72 h discard). Statistical tests: paired comparison of MAE reductions with 95% credible intervals; report variance decomposition attributing error to EF, NILM, meters, and sampling. Minimum viability checks: require per-device NILM F1 ≥0.70 for critical devices or else trigger targeted submetering arm.</w:t>
      </w:r>
    </w:p>
    <w:p>
      <w:r>
        <w:t xml:space="preserve"> </w:t>
      </w:r>
    </w:p>
    <w:p>
      <w:pPr>
        <w:pStyle w:val="Heading2"/>
      </w:pPr>
      <w:r>
        <w:t>Risk Factors And Limitations</w:t>
      </w:r>
    </w:p>
    <w:p>
      <w:r>
        <w:t>1) Sampling bias: stratified sample may not cover all informal practices; refusal or access denial reduces representativeness. 2) NILM failure modes: classifiers may misclassify similar transient signatures, lowering allocation accuracy; supervised labels may be insufficient for rare devices. 3) Meter and scale failures: hardware loss, calibration drift, or synchronization errors can bias kWh/kg estimates. 4) Emission factor uncertainty: dispatch data may be incomplete; cross-province flows complicate marginal EF attribution and inflate uncertainty. 5) Imputation and missing data: long gaps (&gt;72 h) force exclusion and reduce daily coverage. 6) Legal and privacy constraints: camera or fine-grained timestamps may be refused, limiting label quality and temporal resolution. 7) Computational limits: full Bayesian MCMC on large hierarchical models may require substantial CPU/RAM and long runtimes. 8) Generalization: methods tuned to three provinces may not transfer to other provinces without new sampling and EF inputs. 9) Non-electric sources: measuring refrigerant leaks, diesel forklifts, fugitive dust, and transport requires separate protocols and adds uncertainty not fully reducible by electricity-based methods.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