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corporate_purpose_renewal_design</w:t>
      </w:r>
    </w:p>
    <w:p>
      <w:r>
        <w:t xml:space="preserve"> </w:t>
      </w:r>
    </w:p>
    <w:p>
      <w:pPr>
        <w:pStyle w:val="Heading2"/>
      </w:pPr>
      <w:r>
        <w:t>Title</w:t>
      </w:r>
    </w:p>
    <w:p>
      <w:r>
        <w:t>Systematic literature review and design-oriented empirical agenda to evaluate how corporate purpose affects strategic renewal</w:t>
      </w:r>
    </w:p>
    <w:p>
      <w:r>
        <w:t xml:space="preserve"> </w:t>
      </w:r>
    </w:p>
    <w:p>
      <w:pPr>
        <w:pStyle w:val="Heading2"/>
      </w:pPr>
      <w:r>
        <w:t>Short Hypothesis</w:t>
      </w:r>
    </w:p>
    <w:p>
      <w:r>
        <w:t>Increasing a firm's corporate purpose clarity and strategic embedding causes an increase in the number of exploratory strategic renewal initiatives within the next 12 months.</w:t>
      </w:r>
    </w:p>
    <w:p>
      <w:r>
        <w:t xml:space="preserve"> </w:t>
      </w:r>
    </w:p>
    <w:p>
      <w:pPr>
        <w:pStyle w:val="Heading2"/>
      </w:pPr>
      <w:r>
        <w:t>Related Work</w:t>
      </w:r>
    </w:p>
    <w:p>
      <w:r>
        <w:t>Existing research spans two fragmented streams: studies on corporate purpose, mission, identity and CSR that describe rhetorical and normative aspects, and literature on strategic renewal, dynamic capabilities, and strategic change that studies resource reallocation and business-model shifts. Prior approaches typically rely on cross-sectional surveys, case studies, or archival event studies focused on single industries or countries. Limitations include inconsistent operationalization of ‘‘purpose’’, lack of validated, multi-item purpose scales, weak causal identification (few pre-registered natural experiments or clear switching rules), limited integration of text-based measures with survey scales, scarce cross-lingual treatment of non-English materials, and few mixed-method designs that link cognition mechanisms (attention, identity, motivation) to measurable renewal outcomes. These weaknesses leave causal mechanisms under-tested and reduce generalizability across contexts.</w:t>
      </w:r>
    </w:p>
    <w:p>
      <w:r>
        <w:t xml:space="preserve"> </w:t>
      </w:r>
    </w:p>
    <w:p>
      <w:pPr>
        <w:pStyle w:val="Heading2"/>
      </w:pPr>
      <w:r>
        <w:t>Abstract</w:t>
      </w:r>
    </w:p>
    <w:p>
      <w:r>
        <w:t>We address the gap between fragmented literatures on corporate purpose and strategic renewal by conducting a systematic literature review and then deploying a design-oriented empirical agenda to test mechanisms linking purpose to renewal. First, we map and cluster existing work using reproducible bibliometrics and an annotated corpus of annual reports and academic texts. Second, we develop and preregister a multi-item corporate purpose scale with cross-cultural adaptation and validate it with exploratory and confirmatory factor analyses. Third, we combine NLP-derived textual purpose scores (topic models, dictionary scores, and fine-tuned transformer classifiers) with surveys, archival firm data, and three pre-specified quasi-experiments (founder exit, regulatory disclosure shocks, unexpected CEO removal) using robust estimators (Callaway &amp; Sant’Anna, Sun &amp; Abraham, synthetic control). Fourth, we run pilot field and lab interventions to test causal mechanisms (attention, identity, prosocial motivation). The main contribution is an integrated, reproducible pathway from measurement to causal tests that clarifies when and how corporate purpose can shift firms toward exploratory strategic renewal. Expected outcome: validated measures, mapped literature clusters, and causal evidence about mechanisms and boundary conditions.</w:t>
      </w:r>
    </w:p>
    <w:p>
      <w:r>
        <w:t xml:space="preserve"> </w:t>
      </w:r>
    </w:p>
    <w:p>
      <w:pPr>
        <w:pStyle w:val="Heading2"/>
      </w:pPr>
      <w:r>
        <w:t>Methodology</w:t>
      </w:r>
    </w:p>
    <w:p>
      <w:r>
        <w:t>Step 1: Register protocol and search. Register search strings and screening rules on OSF. Run database searches (Scopus, Web of Science, ABI/INFORM, Business Source, Google Scholar top-200) and export raw metadata. Deduplicate and import to Rayyan for screening. Step 2: Screening and ontology. Screen for explicit links between corporate purpose (per working definition) and renewal. Log borderline decisions with short rationales. Record ontology fields: purpose clarity, scope, embeddedness; identity/CSR links; cognition mechanisms; renewal type; level and context. Step 3: Bibliometric mapping. Use Bibliometrix and VOSviewer to generate keyword co-occurrence, co-citation, and temporal burst maps. Cluster literature with community detection (Louvain). Step 4: Purpose scale development. Create 30–40 candidate items from prior scales and text-derived items. Translate via forward/back translation. Run cognitive interviews. Pilot EFA (N≈150 per language), then CFA (N≥350 pooled). Test measurement invariance (configural, metric, scalar) with CFI, RMSEA, SRMR. Step 5: NLP pipeline. Preprocess texts: language detection, tokenization, lemmatization, preserve named entities. Build document-term matrices and multilingual embeddings (XLM-R or similar). Apply LIWC-style dictionary scores for prosocial/market frames, Structural Topic Model (STM) for themes, and fine-tuned transformer classifiers (BERT/XLM-R) to detect purpose re-articulation. Validate against hand-coded sample (n≈500). Step 6: Causal identification. Implement three pre-specified natural experiments: founder exit, regulatory disclosure adoption, and unexpected CEO removal. Match treated and control units on 3-year pre-treatment averages of covariates (size, age, R&amp;D intensity, leverage, baseline purpose score, ownership, CEO tenure, board independence, archival tone, IT intensity, cash ratio). Require standardized mean differences &lt;0.10; fallback to entropy balancing or synthetic control when matching fails. Use event-study diagnostics and Callaway &amp; Sant’Anna as primary estimator; Sun &amp; Abraham and synthetic control as robustness. Step 7: Mixed-method interventions. Design three prototypes: (a) matched-pair purpose re-articulation quasi-experiment in firms, (b) manager lab vignette task manipulating clarity and scope, (c) governance scaffold trial at business-unit level. Pretest materials and record fidelity. Step 8: Qualitative process tracing. Select 8–12 purposive cases; collect interviews (10–15 per firm), archival artifacts, and observations; reconstruct timelines and apply hoop/smoking-gun tests to infer causal chains. Step 9: Integration and pre-registration. Pre-register primary outcomes, mediators, covariates, matching rules, power targets, multiple-testing corrections, missing-data procedures, and analysis scripts. Produce reproducible code (R/Python) and deposit aggregated data and scripts on OSF.</w:t>
      </w:r>
    </w:p>
    <w:p>
      <w:r>
        <w:t xml:space="preserve"> </w:t>
      </w:r>
    </w:p>
    <w:p>
      <w:pPr>
        <w:pStyle w:val="Heading2"/>
      </w:pPr>
      <w:r>
        <w:t>Experiments</w:t>
      </w:r>
    </w:p>
    <w:p>
      <w:r>
        <w:t>Datasets: bibliographic exports from Scopus/WoS/ABI; annual reports corpus (company filings); Compustat/Orbis for financials; patent data (USPTO/PATSTAT); project registries where available; hand-coded validation sample (n≥500). Baselines: (1) survey-only purpose scale models with OLS/FE, (2) text-dictionary measures (LIWC) alone, (3) STM topic scores alone, (4) naïve TWFE DiD (two-way fixed effects) models. Causal estimators: primary = Callaway &amp; Sant’Anna group-time ATT; robustness = Sun &amp; Abraham, synthetic control, DiD with firm and time FE. Matching methods: PSM, entropy balancing, Coarsened Exact Matching. NLP models: dictionary (LIWC), STM, fine-tuned BERT/XLM-R classifiers. Validation metrics: classifier precision, recall, F1 (target ≥0.75); manual code reliability Krippendorff’s alpha ≥0.70. Scale validation metrics: EFA loadings (&gt;0.40), CFA fit CFI≥0.95, RMSEA≤0.06, SRMR≤0.08; if partial invariance accept CFI≥0.90. Primary outcome: exploratory project initiations counted by 2-of-3 rule (new market/tech target; dedicated budget ≥max($100k,0.25% revenue); formal cross-functional team or board approval). Report ATT estimates with 95% CI, p-values, e-values, and Rosenbaum Γ. Power and samples: archival panel target = 300 firms × 3 waves; pilot field quasi-experiment = 8 matched pairs; lab N = 100 managers per cell for 3×2 design. Experimental setup: preregister covariates averaged over 3 years prior, require match SMD&lt;0.10, run event-study pre-tests for no pre-trend (α=0.10), and conduct placebo outcome tests. Ablation studies: (A) remove NLP mapping and use survey-only measures; (B) replace fine-tuned classifier with LIWC-only; (C) vary budget threshold for initiation rule (e.g., $50k, $100k, 0.1% revenue, 0.25% revenue) and report robustness table; (D) compare matching methods (PSM vs entropy balancing vs CEM) and report SMD and ATT differences. Report fsQCA results (consistency and coverage) for configurational patterns and include mediation tests using panel SEM and longitudinal cross-lag models with pre-specified lag lengths (mediator measured at t, outcome at t+1).</w:t>
      </w:r>
    </w:p>
    <w:p>
      <w:r>
        <w:t xml:space="preserve"> </w:t>
      </w:r>
    </w:p>
    <w:p>
      <w:pPr>
        <w:pStyle w:val="Heading2"/>
      </w:pPr>
      <w:r>
        <w:t>Risk Factors And Limitations</w:t>
      </w:r>
    </w:p>
    <w:p>
      <w:r>
        <w:t>Construct validity: corporate purpose may be expressed differently across firms and cultures, making measurement and scale equivalence difficult. NLP limits: transformer models may misinterpret cultural idioms or rhetorical framing; multilingual performance may vary. Data availability: archival project registries and internal approvals may be missing or inconsistent across firms and countries. Event rarity and small-n: founder exits or CEO shocks are rare, producing small treated samples and low statistical power. Selection bias: firms volunteering for field interventions may differ systematically from non-participants. Unobserved confounding: even with matching and robust estimators, unmeasured variables can bias causal estimates. Cross-language comparability: translation and back-translation may not fully capture nuanced purpose language. Computational cost: fine-tuning large transformer models on long corpora requires substantial compute. Attrition and missing data: panel surveys and firm-level panels risk nonrandom drop-out. Generalizability: findings from pilot firms and specific industries may not generalize to other contexts or smaller firms. Ethical/legal limits: access to internal documents and redaction requirements may constrain reproducibility of raw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