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qianyang_lulc_esv_plus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Quantifying effects of land use and land cover change on ecosystem service value in Qianyang County using uncertainty-propagated LULC ensembles, spatial statistics, and PLUS scenario simulation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Projected increases in urban land area between 2022 and 2050 lead to a statistically significant decline in aggregate ecosystem services value (ESV) in Qianyang County relative to a conservation-constrained scenario.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studies map land use/land cover (LULC) change and estimate ecosystem service value (ESV) using per-class value coefficients and remote-sensing LULC maps, and some use spatially explicit land-change models for scenarios. Common approaches use single-map valuation or limited ensembles, apply global or regional VC tables (e.g., Xie/Costanza), and report hotspot maps. Limitations include: failure to propagate LULC classification uncertainty into ESV and scenarios; weak or absent spatial-statistics (local autocorrelation, scale diagnostics); limited nested uncertainty (classification + valuation + model stochasticity); coarse scenario parameterization not tied to local socio-economic data; and insufficient validation against biophysical proxies (NPP, yields, hydrology). These gaps reduce the reliability of ESV trend attribution and policy guidance.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quantifies how historical and projected land use and land cover (LULC) change affect ecosystem services value (ESV) in Qianyang County using uncertainty-aware mapping, spatial statistics, and PLUS model scenario simulations to 2050. We convert 2007–2022 30 m LULC maps into M = 200 Monte Carlo initial-condition ensembles by sampling per-class confusion matrices, compute pixel-level ESV with nested value-coefficient Monte Carlo draws (1,000 log-normal samples), and analyze spatial patterns with global/local autocorrelation (Moran’s I, LISA) at multiple scales. We run PLUS to simulate BAU, Conservation, and High-Urbanization scenarios using selected initial-condition ensembles and stochastic realizations, then decompose 2050 ESV variance into classification, model, and valuation components via REML. The main contribution is an end-to-end, reproducible pipeline that quantifies spatially explicit ESV change with full uncertainty attribution and produces policy-relevant maps (mean, CI, probability of conversion) and ranked priority areas for conservation. Expected outcome: robust, testable estimates of ESV change to inform sustainable land management in Qianyang.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preparation: harmonize 2007–2022 30 m LULC rasters to a canonical legend and CRS; assemble auxiliary drivers (elevation, slope, distance-to-roads/rivers, population, nighttime lights, planned infrastructure). MMU = 3 pixels for mapping; analysis CRS = EPSG:32650. 2) Classification uncertainty: compute per-year, per-class confusion matrices from validation samples stratified by 1 km blocks. Use Monte Carlo (MC) sampling: for each of M = 200 iterations, draw each pixel's class from the categorical distribution given by its mapped-class confusion-row to create an initial-condition LULC realization. (Monte Carlo: repeated random sampling to estimate distributions.) 3) Value-coefficient (VC) sampling: assemble VC spreadsheet with provenance and assign log-normal priors (explained as skewed positive distributions). For each LULC realization sample VC sets with VC_MC = 1,000 draws to compute pixel-level ESV. 4) Spatial statistics: compute Global Moran's I (global spatial autocorrelation), spatial correlograms, Local Indicators of Spatial Association (LISA), and Getis-Ord Gi* hotspots at 30 m and aggregated 1 km and 3 km grids. Explain spatial autocorrelation: nearby values tend to be similar. 5) PLUS modeling: select predictors via correlation clustering and LEAS permutation importance, check VIF &lt; 5 (Variance Inflation Factor measures predictor collinearity). Run PLUS scenarios: BAU, Conservation, High-Urbanization. For each scenario, pick S = 30 initial-condition rasters from M (stratified) and run R = 30 stochastic PLUS realizations each (fallback smaller ensembles if needed). 6) Outputs: produce ensemble mean, SD, and 2.5–97.5 percentiles for ESV maps, probability-of-conversion rasters, and priority-area rankings. 7) Variance decomposition: fit hierarchical mixed-effects (REML) model with random effects for classification realization, PLUS run nested within initial, and VC draw to estimate fraction of variance from each source. REML: statistical method to estimate variance components.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30 m LULC maps (2007, 2012, 2017, 2022), Sentinel-1/2 time-series, SRTM DEM, CHIRPS precipitation, HydroSHEDS rivers, MODIS NPP, county crop yield and statistical yearbook data, nighttime lights, population rasters, planned infrastructure GIS. Baselines: A) Single-map static ESV using 2022 LULC and a chosen VC table; B) Ensemble LULC valuation without PLUS scenarios (M=200, VC_MC=1000) but no future change model; C) Deterministic PLUS runs using one initial LULC (no classification or VC uncertainty). Experimental design: 1) Calibrate PLUS on 2007→2017, validate 2017→2022 using spatial block 5-fold CV and temporal holdout. Report AUC for transition potentials, FoM (Figure of Merit) for change prediction, and area error per class. 2) Run nested ensembles: for each scenario run S=30 initial-conditions × R=30 PLUS runs and nest VC_MC=1000 draws to compute ESV distributions. If compute-limited use fallback S=20 × R=10. 3) Compute evaluation metrics: aggregate ESV mean and 95% CI, marginal ESV per hectare, percent change between 2022 and 2050, Global Moran's I (≥999 permutations), LISA hotspots with FDR correction, PLUS metrics (AUC, FoM, area error), variance component percentages from REML. 4) Ablation studies: (i) remove classification uncertainty (use single initial map) to measure its effect on ESV uncertainty; (ii) remove VC uncertainty (single VC set) to measure valuation effect; (iii) compare full nested ensemble vs surrogate emulator (random forest or Gaussian process meta-model) trained on a pilot subset to test computation vs accuracy trade-off. 5) Validation: independent checks of ESV spatial patterns against MODIS NPP, crop yield records, and hydrological proxies (runoff) using spatial correlation metrics and bias/variance comparisons. Validation sample sizes: common classes n=300, medium n=200, rare n=100.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Classification bias: systematic misclassification (e.g., wetlands vs cropland) can bias ESV estimates and may not be fully captured by confusion matrices. 2) VC uncertainty and representativeness: value coefficients come from literature and scaling choices (NPP, yield) may misrepresent local biophysics. 3) Compute and storage limits: full nested ensembles are heavy; surrogate models may be needed but introduce approximation error. 4) Spatial scale effects (MAUP): results vary by aggregation scale (30 m vs 1 km vs 3 km), limiting direct policy translation. 5) Model identifiability and endogeneity: spatial regressions linking landscape pattern to ESV may suffer from omitted variable bias and reverse causality. 6) Wetland seasonality and data gaps: insufficient high-frequency observations can mislabel seasonal wetlands. 7) Scenario assumptions: SSP multipliers and demand surfaces are uncertain and may not capture local planning changes. 8) Validation limits: independent biophysical proxies have their own errors and cannot fully validate monetary ESV estimates. 9) Generalization: methods tuned for Qianyang’s agro-forest-wetland mosaic may not generalize without retuning to other regions.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