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dvt_protection_motivation_scale</w:t>
      </w:r>
    </w:p>
    <w:p>
      <w:r>
        <w:t xml:space="preserve"> </w:t>
      </w:r>
    </w:p>
    <w:p>
      <w:pPr>
        <w:pStyle w:val="Heading2"/>
      </w:pPr>
      <w:r>
        <w:t>Title</w:t>
      </w:r>
    </w:p>
    <w:p>
      <w:r>
        <w:t>Development and validation of a protection‑motivation‑theory based scale to measure motivation for postdischarge deep vein thrombosis prophylaxis in hip and knee arthroplasty patients</w:t>
      </w:r>
    </w:p>
    <w:p>
      <w:r>
        <w:t xml:space="preserve"> </w:t>
      </w:r>
    </w:p>
    <w:p>
      <w:pPr>
        <w:pStyle w:val="Heading2"/>
      </w:pPr>
      <w:r>
        <w:t>Short Hypothesis</w:t>
      </w:r>
    </w:p>
    <w:p>
      <w:r>
        <w:t>Higher pre‑discharge scores on the PMT‑based motivation scale cause greater objective adherence to prescribed DVT prophylaxis within 4–6 weeks after hip or knee arthroplasty.</w:t>
      </w:r>
    </w:p>
    <w:p>
      <w:r>
        <w:t xml:space="preserve"> </w:t>
      </w:r>
    </w:p>
    <w:p>
      <w:pPr>
        <w:pStyle w:val="Heading2"/>
      </w:pPr>
      <w:r>
        <w:t>Related Work</w:t>
      </w:r>
    </w:p>
    <w:p>
      <w:r>
        <w:t>Existing work includes health behavior and adherence instruments that apply protection motivation theory (PMT) or measure medication adherence and self‑efficacy. Prior scales address general anticoagulation adherence or broad PMT constructs but are not tailored to postdischarge DVT prophylaxis after hip or knee arthroplasty. Limitations in prior approaches include small samples, limited mixed‑methods item development, inadequate testing with modern psychometric methods (item response theory, DIF/invariance), weak linkage to objective adherence outcomes (pharmacy dispenses or injection logs), and insufficient handling of subgroup bias (age, literacy, administration mode). Existing short clinical tools often rely on sum scores without conversion to latent trait metrics or conditional reliability information, reducing precision for research and clinical decision thresholds.</w:t>
      </w:r>
    </w:p>
    <w:p>
      <w:r>
        <w:t xml:space="preserve"> </w:t>
      </w:r>
    </w:p>
    <w:p>
      <w:pPr>
        <w:pStyle w:val="Heading2"/>
      </w:pPr>
      <w:r>
        <w:t>Abstract</w:t>
      </w:r>
    </w:p>
    <w:p>
      <w:r>
        <w:t>We propose to create and validate a brief, theory‑grounded instrument based on Protection Motivation Theory (PMT) that measures patients' motivation for postdischarge deep vein thrombosis (DVT) prophylaxis after hip or knee arthroplasty. Using mixed methods, we will generate candidate items from literature, clinician input, and patient interviews, map items to PMT domains (threat appraisal, response efficacy, self‑efficacy, response cost, maladaptive rewards, intention), and refine them through cognitive testing. In a cross‑sectional survey of discharged arthroplasty patients (target N=500), we will use split‑sample exploratory and confirmatory factor analyses with ordinal methods, fit a graded response IRT model, evaluate differential item functioning across key subgroups, and link scores to an objective adherence composite at 4–6 weeks. The main contributions are a validated PMT‑based scale specific to post‑arthroplasty DVT prophylaxis, prespecified psychometric decision rules, and clinically usable scoring (sum scores plus IRT theta with conversion tables). Expected outcomes are a reliable, valid tool that predicts short‑term adherence and supports targeted clinical triage.</w:t>
      </w:r>
    </w:p>
    <w:p>
      <w:r>
        <w:t xml:space="preserve"> </w:t>
      </w:r>
    </w:p>
    <w:p>
      <w:pPr>
        <w:pStyle w:val="Heading2"/>
      </w:pPr>
      <w:r>
        <w:t>Methodology</w:t>
      </w:r>
    </w:p>
    <w:p>
      <w:r>
        <w:t>1) Item generation: assemble 30±5 candidate items from literature, clinician workshops, and 15–20 semi‑structured patient interviews. Map each item to one PMT domain. 2) Cognitive testing: run 3–4 rounds of cognitive interviews (10–15 total) using think‑aloud and vignettes; revise wording for clarity and modality specificity (oral, injection, stockings). 3) Field study: recruit target N=500 postdischarge hip/knee arthroplasty patients across sites with diverse age, literacy, and prophylaxis modes; collect baseline scale responses pre‑discharge and objective adherence data at 4–6 weeks (pharmacy PDC, nurse injection logs, pill counts). 4) Psychometrics: random 60/40 split for EFA/CFA. EFA on polychoric correlations, use parallel analysis and oblique rotation; retain items with loadings ≥0.40 and cross‑loading gap ≥0.20. CFA with WLSMV estimator report RMSEA, CFI, TLI, SRMR. 5) IRT: fit Graded Response Model (GRM) to retained items; report discrimination (a) and threshold parameters; examine item information and conditional reliability (information function shows precision across trait). GRM = a model for ordered responses where 'a' is how well an item distinguishes levels of motivation; thresholds are points on the trait scale where response probability shifts. 6) DIF and local dependence: detect DIF via IRT‑LR and ordinal logistic regression controlling FDR; flag items with p&lt;0.01 and ΔR2≥0.02 or expected score difference &gt;0.25 SD. Flag local dependence where residual correlations &gt;0.20. 7) Scoring: produce summed subscale scores and IRT theta estimates; provide sum↔theta conversion tables. 8) Cutpoints: derive triage cutpoints predicting adherence composite using 5‑fold cross‑validation and bootstrap CIs, prioritizing sensitivity. 9) Missing data: exclude participants with &gt;20% item nonresponse; use WLSMV internal handling for CFA and sensitivity MI with mice (ordinal). 10) Reproducibility: record software versions and seed and publish code and de‑identified data.</w:t>
      </w:r>
    </w:p>
    <w:p>
      <w:r>
        <w:t xml:space="preserve"> </w:t>
      </w:r>
    </w:p>
    <w:p>
      <w:pPr>
        <w:pStyle w:val="Heading2"/>
      </w:pPr>
      <w:r>
        <w:t>Experiments</w:t>
      </w:r>
    </w:p>
    <w:p>
      <w:r>
        <w:t>Datasets: prospective survey of postdischarge THA/TKA patients from 4 hospitals, target N=500 (min 300). Collect baseline PMT items, demographics, health literacy, prophylaxis mode, and 4–6 week objective adherence composite (pharmacy PDC, nurse logs, pill counts). Baselines for comparison: 1) MMAS‑8 or comparable medication adherence scale (sum score), 2) General Self‑Efficacy scale, 3) a generic PMT questionnaire if available. Evaluation metrics: EFA/CFA fit indices (RMSEA ≤0.06, CFI/TLI ≥0.95, SRMR ≤0.08), McDonald’s omega for subscales (target ≥0.80), IRT discrimination parameters (a), S‑X2 item fit (flag p&lt;0.01), item/test information and conditional reliability, DIF statistics (IRT‑LR p, ΔR2), ROC AUC for predicting adherence composite, sensitivity/specificity/PPV/NPV with bootstrap 95% CIs, calibration plots, and predictive logistic regression effect sizes (odds ratio per SD theta). Experimental setup: 1) Split sample 60/40 for EFA/CFA. 2) Fit GRM on full retained item set; run GPCM as sensitivity. 3) DIF tests across covariates: age group, sex, education, health literacy, language, THA vs TKA, administration mode, and mode of survey (paper vs electronic). 4) Compare scoring methods: (A) summed subscale scores, (B) IRT theta estimates; evaluate which predicts adherence composite better via AUC and logistic regression; this is the primary ablation. 5) Ablation 2: assess effect of removing items with DIF vs splitting items vs keeping items on predictive validity and reliability. 6) Cutpoint experiments: derive cutpoints under adherence definitions PDC≥0.80 and PDC≥0.90; report sensitivity/specificity across prevalence scenarios. 7) Simulation study: 1000 reps to assess power to detect moderate DIF (logit shift 0.5) and standard errors of IRT 'a' at sample sizes 300, 500, 800. 8) All analyses use pre‑registered decision thresholds; report primary results and prespecified sensitivity analyses.</w:t>
      </w:r>
    </w:p>
    <w:p>
      <w:r>
        <w:t xml:space="preserve"> </w:t>
      </w:r>
    </w:p>
    <w:p>
      <w:pPr>
        <w:pStyle w:val="Heading2"/>
      </w:pPr>
      <w:r>
        <w:t>Risk Factors And Limitations</w:t>
      </w:r>
    </w:p>
    <w:p>
      <w:r>
        <w:t>1) Low event/prevalence: symptomatic VTE is rare; clinical outcome validation may be underpowered and yield wide CIs. 2) Adherence measurement discordance: pharmacy dispense does not guarantee ingestion or correct injection; composite may misclassify some patients. 3) Sample size limits for DIF: subgroup tests (age, literacy, mode) may be underpowered to detect small DIF. 4) Response bias: social desirability and attention failures may bias self‑report items. 5) Missing data: missingness may be not missing at random (NMAR), violating MAR assumptions used in MI. 6) IRT assumptions: local independence and unidimensionality within subscales may fail, reducing model validity. 7) Mode effects: paper vs electronic administration may cause measurement differences. 8) Generalizability: instrument validated in hip/knee arthroplasty patients may not generalize to other surgeries or populations. 9) Operational data complexity: claims/pharmacy data variations (partial fills, early stops, overlapping prescriptions) can complicate adherence algorithms and comparability across sites. 10) Computational limits: fitting complex IRT models and multiple imputations may be time and resource intensive for large simulations.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